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075176" w14:textId="79F71CE2" w:rsidR="00E32AC8" w:rsidRDefault="00821B4F">
      <w:pPr>
        <w:jc w:val="center"/>
        <w:rPr>
          <w:b/>
          <w:bCs/>
          <w:color w:val="000000"/>
        </w:rPr>
      </w:pPr>
      <w:r>
        <w:rPr>
          <w:b/>
          <w:noProof/>
        </w:rPr>
        <w:drawing>
          <wp:inline distT="0" distB="0" distL="0" distR="0" wp14:anchorId="5A916D2A" wp14:editId="7FBC6838">
            <wp:extent cx="2314575"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14:paraId="55CCCA9F" w14:textId="77777777" w:rsidR="00E32AC8" w:rsidRDefault="00E32AC8">
      <w:pPr>
        <w:jc w:val="center"/>
        <w:rPr>
          <w:b/>
          <w:bCs/>
          <w:color w:val="000000"/>
        </w:rPr>
      </w:pPr>
      <w:r>
        <w:rPr>
          <w:b/>
          <w:bCs/>
          <w:color w:val="000000"/>
        </w:rPr>
        <w:t>University of Minnesota Farmers Market 20</w:t>
      </w:r>
      <w:r>
        <w:fldChar w:fldCharType="begin">
          <w:ffData>
            <w:name w:val=""/>
            <w:enabled/>
            <w:calcOnExit w:val="0"/>
            <w:helpText w:type="text" w:val=" "/>
            <w:textInput>
              <w:maxLength w:val="2"/>
            </w:textInput>
          </w:ffData>
        </w:fldChar>
      </w:r>
      <w:r>
        <w:instrText xml:space="preserve"> FORMTEXT </w:instrText>
      </w:r>
      <w:r>
        <w:fldChar w:fldCharType="separate"/>
      </w:r>
      <w:r>
        <w:rPr>
          <w:noProof/>
        </w:rPr>
        <w:t> </w:t>
      </w:r>
      <w:r>
        <w:rPr>
          <w:noProof/>
        </w:rPr>
        <w:t> </w:t>
      </w:r>
      <w:r>
        <w:fldChar w:fldCharType="end"/>
      </w:r>
    </w:p>
    <w:p w14:paraId="2C861CCA" w14:textId="77777777" w:rsidR="00E32AC8" w:rsidRDefault="00E32AC8">
      <w:pPr>
        <w:jc w:val="center"/>
        <w:rPr>
          <w:b/>
          <w:bCs/>
          <w:color w:val="000000"/>
        </w:rPr>
      </w:pPr>
      <w:r>
        <w:rPr>
          <w:b/>
          <w:bCs/>
          <w:color w:val="000000"/>
        </w:rPr>
        <w:t xml:space="preserve">VENDOR </w:t>
      </w:r>
      <w:r w:rsidR="00802A4F">
        <w:rPr>
          <w:b/>
          <w:bCs/>
          <w:color w:val="000000"/>
        </w:rPr>
        <w:t>FORM</w:t>
      </w:r>
      <w:r>
        <w:rPr>
          <w:b/>
          <w:bCs/>
          <w:color w:val="000000"/>
        </w:rPr>
        <w:t xml:space="preserve"> AGREEMENT </w:t>
      </w:r>
    </w:p>
    <w:p w14:paraId="300B41DB" w14:textId="77777777" w:rsidR="00E32AC8" w:rsidRDefault="00E32AC8">
      <w:pPr>
        <w:rPr>
          <w:color w:val="000000"/>
        </w:rPr>
      </w:pPr>
    </w:p>
    <w:p w14:paraId="3AEA4B8C" w14:textId="75746C69" w:rsidR="00E32AC8" w:rsidRDefault="00802A4F">
      <w:pPr>
        <w:pStyle w:val="BodyText"/>
        <w:rPr>
          <w:color w:val="000000"/>
        </w:rPr>
      </w:pPr>
      <w:r>
        <w:rPr>
          <w:color w:val="000000"/>
        </w:rPr>
        <w:tab/>
        <w:t>This Vendor Form</w:t>
      </w:r>
      <w:r w:rsidR="00E32AC8">
        <w:rPr>
          <w:color w:val="000000"/>
        </w:rPr>
        <w:t xml:space="preserve"> Agreement (the “</w:t>
      </w:r>
      <w:r w:rsidR="00E32AC8">
        <w:rPr>
          <w:b/>
          <w:color w:val="000000"/>
        </w:rPr>
        <w:t>Agreement</w:t>
      </w:r>
      <w:r w:rsidR="00E32AC8">
        <w:rPr>
          <w:color w:val="000000"/>
        </w:rPr>
        <w:t xml:space="preserve">”) is entered into on </w:t>
      </w:r>
      <w:r w:rsidR="00E32AC8">
        <w:fldChar w:fldCharType="begin">
          <w:ffData>
            <w:name w:val="Text37"/>
            <w:enabled/>
            <w:calcOnExit w:val="0"/>
            <w:helpText w:type="text" w:val=" "/>
            <w:textInput/>
          </w:ffData>
        </w:fldChar>
      </w:r>
      <w:bookmarkStart w:id="0" w:name="Text37"/>
      <w:r w:rsidR="00E32AC8">
        <w:instrText xml:space="preserve"> FORMTEXT </w:instrText>
      </w:r>
      <w:r w:rsidR="00E32AC8">
        <w:fldChar w:fldCharType="separate"/>
      </w:r>
      <w:r w:rsidR="00E32AC8">
        <w:rPr>
          <w:noProof/>
        </w:rPr>
        <w:t> </w:t>
      </w:r>
      <w:r w:rsidR="00E32AC8">
        <w:rPr>
          <w:noProof/>
        </w:rPr>
        <w:t> </w:t>
      </w:r>
      <w:r w:rsidR="00E32AC8">
        <w:rPr>
          <w:noProof/>
        </w:rPr>
        <w:t> </w:t>
      </w:r>
      <w:r w:rsidR="00E32AC8">
        <w:rPr>
          <w:noProof/>
        </w:rPr>
        <w:t> </w:t>
      </w:r>
      <w:r w:rsidR="00E32AC8">
        <w:rPr>
          <w:noProof/>
        </w:rPr>
        <w:t> </w:t>
      </w:r>
      <w:r w:rsidR="00E32AC8">
        <w:fldChar w:fldCharType="end"/>
      </w:r>
      <w:bookmarkEnd w:id="0"/>
      <w:r w:rsidR="00E32AC8">
        <w:rPr>
          <w:color w:val="000000"/>
        </w:rPr>
        <w:t>, 20</w:t>
      </w:r>
      <w:r w:rsidR="00E32AC8">
        <w:fldChar w:fldCharType="begin">
          <w:ffData>
            <w:name w:val=""/>
            <w:enabled/>
            <w:calcOnExit w:val="0"/>
            <w:helpText w:type="text" w:val=" "/>
            <w:textInput>
              <w:maxLength w:val="2"/>
            </w:textInput>
          </w:ffData>
        </w:fldChar>
      </w:r>
      <w:r w:rsidR="00E32AC8">
        <w:instrText xml:space="preserve"> FORMTEXT </w:instrText>
      </w:r>
      <w:r w:rsidR="00E32AC8">
        <w:fldChar w:fldCharType="separate"/>
      </w:r>
      <w:r w:rsidR="00E32AC8">
        <w:rPr>
          <w:noProof/>
        </w:rPr>
        <w:t> </w:t>
      </w:r>
      <w:r w:rsidR="00E32AC8">
        <w:rPr>
          <w:noProof/>
        </w:rPr>
        <w:t> </w:t>
      </w:r>
      <w:r w:rsidR="00E32AC8">
        <w:fldChar w:fldCharType="end"/>
      </w:r>
      <w:r w:rsidR="00E32AC8">
        <w:rPr>
          <w:color w:val="000000"/>
        </w:rPr>
        <w:t xml:space="preserve"> between Regents of the University of Minnesota (“</w:t>
      </w:r>
      <w:r w:rsidR="00E32AC8">
        <w:rPr>
          <w:b/>
          <w:color w:val="000000"/>
        </w:rPr>
        <w:t>University”</w:t>
      </w:r>
      <w:r w:rsidR="00E32AC8">
        <w:rPr>
          <w:color w:val="000000"/>
        </w:rPr>
        <w:t xml:space="preserve">) and </w:t>
      </w:r>
      <w:r w:rsidR="00E32AC8">
        <w:fldChar w:fldCharType="begin">
          <w:ffData>
            <w:name w:val="Text37"/>
            <w:enabled/>
            <w:calcOnExit w:val="0"/>
            <w:helpText w:type="text" w:val=" "/>
            <w:textInput/>
          </w:ffData>
        </w:fldChar>
      </w:r>
      <w:r w:rsidR="00E32AC8">
        <w:instrText xml:space="preserve"> FORMTEXT </w:instrText>
      </w:r>
      <w:r w:rsidR="00E32AC8">
        <w:fldChar w:fldCharType="separate"/>
      </w:r>
      <w:r w:rsidR="00E32AC8">
        <w:rPr>
          <w:noProof/>
        </w:rPr>
        <w:t> </w:t>
      </w:r>
      <w:r w:rsidR="00E32AC8">
        <w:rPr>
          <w:noProof/>
        </w:rPr>
        <w:t> </w:t>
      </w:r>
      <w:r w:rsidR="00E32AC8">
        <w:rPr>
          <w:noProof/>
        </w:rPr>
        <w:t> </w:t>
      </w:r>
      <w:r w:rsidR="00E32AC8">
        <w:rPr>
          <w:noProof/>
        </w:rPr>
        <w:t> </w:t>
      </w:r>
      <w:r w:rsidR="00E32AC8">
        <w:rPr>
          <w:noProof/>
        </w:rPr>
        <w:t> </w:t>
      </w:r>
      <w:r w:rsidR="00E32AC8">
        <w:fldChar w:fldCharType="end"/>
      </w:r>
      <w:r w:rsidR="00E32AC8">
        <w:rPr>
          <w:color w:val="000000"/>
        </w:rPr>
        <w:t xml:space="preserve"> (“</w:t>
      </w:r>
      <w:r w:rsidR="00E32AC8">
        <w:rPr>
          <w:b/>
          <w:color w:val="000000"/>
        </w:rPr>
        <w:t>Vendor</w:t>
      </w:r>
      <w:r w:rsidR="00E32AC8">
        <w:rPr>
          <w:color w:val="000000"/>
        </w:rPr>
        <w:t>”) for the purpose of allowing Vendor to occupy certain space (“</w:t>
      </w:r>
      <w:r w:rsidR="00E32AC8">
        <w:rPr>
          <w:b/>
          <w:color w:val="000000"/>
        </w:rPr>
        <w:t>Market Stall</w:t>
      </w:r>
      <w:r w:rsidR="00E32AC8">
        <w:rPr>
          <w:color w:val="000000"/>
        </w:rPr>
        <w:t>”) on the</w:t>
      </w:r>
      <w:r w:rsidR="00CB2C29">
        <w:rPr>
          <w:color w:val="000000"/>
        </w:rPr>
        <w:t xml:space="preserve"> Gateway Plaza Area, McNamara Alumni Center, 200 Oak Street SE</w:t>
      </w:r>
      <w:r w:rsidR="00E32AC8">
        <w:rPr>
          <w:color w:val="000000"/>
        </w:rPr>
        <w:t>, on University’s East Bank Minneapolis campus, to sell the following products: fruits, ve</w:t>
      </w:r>
      <w:r w:rsidR="00A749AC">
        <w:rPr>
          <w:color w:val="000000"/>
        </w:rPr>
        <w:t>getables, honey, maple syrup,</w:t>
      </w:r>
      <w:r w:rsidR="00E32AC8">
        <w:rPr>
          <w:color w:val="000000"/>
        </w:rPr>
        <w:t xml:space="preserve"> cut flowers</w:t>
      </w:r>
      <w:r w:rsidR="00A749AC">
        <w:rPr>
          <w:color w:val="000000"/>
        </w:rPr>
        <w:t xml:space="preserve">, and anything that qualifies under Minnesota Statutes, </w:t>
      </w:r>
      <w:r w:rsidR="00AF3359">
        <w:rPr>
          <w:color w:val="000000"/>
        </w:rPr>
        <w:t>S</w:t>
      </w:r>
      <w:r w:rsidR="00A749AC">
        <w:rPr>
          <w:color w:val="000000"/>
        </w:rPr>
        <w:t>ection 28A.152</w:t>
      </w:r>
      <w:r w:rsidR="00F82B57">
        <w:rPr>
          <w:color w:val="000000"/>
        </w:rPr>
        <w:t xml:space="preserve"> Cottage Foods Exemption</w:t>
      </w:r>
      <w:r w:rsidR="00A749AC">
        <w:rPr>
          <w:color w:val="000000"/>
        </w:rPr>
        <w:t xml:space="preserve"> </w:t>
      </w:r>
      <w:r w:rsidR="00E32AC8">
        <w:rPr>
          <w:color w:val="000000"/>
        </w:rPr>
        <w:t xml:space="preserve">at University’s Farmers Market to be held Wednesdays from </w:t>
      </w:r>
      <w:r w:rsidR="00E32AC8">
        <w:fldChar w:fldCharType="begin">
          <w:ffData>
            <w:name w:val="Text37"/>
            <w:enabled/>
            <w:calcOnExit w:val="0"/>
            <w:helpText w:type="text" w:val=" "/>
            <w:textInput/>
          </w:ffData>
        </w:fldChar>
      </w:r>
      <w:r w:rsidR="00E32AC8">
        <w:instrText xml:space="preserve"> FORMTEXT </w:instrText>
      </w:r>
      <w:r w:rsidR="00E32AC8">
        <w:fldChar w:fldCharType="separate"/>
      </w:r>
      <w:r w:rsidR="00E32AC8">
        <w:rPr>
          <w:noProof/>
        </w:rPr>
        <w:t> </w:t>
      </w:r>
      <w:r w:rsidR="00E32AC8">
        <w:rPr>
          <w:noProof/>
        </w:rPr>
        <w:t> </w:t>
      </w:r>
      <w:r w:rsidR="00E32AC8">
        <w:rPr>
          <w:noProof/>
        </w:rPr>
        <w:t> </w:t>
      </w:r>
      <w:r w:rsidR="00E32AC8">
        <w:rPr>
          <w:noProof/>
        </w:rPr>
        <w:t> </w:t>
      </w:r>
      <w:r w:rsidR="00E32AC8">
        <w:rPr>
          <w:noProof/>
        </w:rPr>
        <w:t> </w:t>
      </w:r>
      <w:r w:rsidR="00E32AC8">
        <w:fldChar w:fldCharType="end"/>
      </w:r>
      <w:r w:rsidR="00E32AC8">
        <w:rPr>
          <w:color w:val="000000"/>
        </w:rPr>
        <w:t>, 20</w:t>
      </w:r>
      <w:r w:rsidR="00E32AC8">
        <w:fldChar w:fldCharType="begin">
          <w:ffData>
            <w:name w:val=""/>
            <w:enabled/>
            <w:calcOnExit w:val="0"/>
            <w:helpText w:type="text" w:val=" "/>
            <w:textInput>
              <w:maxLength w:val="2"/>
            </w:textInput>
          </w:ffData>
        </w:fldChar>
      </w:r>
      <w:r w:rsidR="00E32AC8">
        <w:instrText xml:space="preserve"> FORMTEXT </w:instrText>
      </w:r>
      <w:r w:rsidR="00E32AC8">
        <w:fldChar w:fldCharType="separate"/>
      </w:r>
      <w:r w:rsidR="00E32AC8">
        <w:rPr>
          <w:noProof/>
        </w:rPr>
        <w:t> </w:t>
      </w:r>
      <w:r w:rsidR="00E32AC8">
        <w:rPr>
          <w:noProof/>
        </w:rPr>
        <w:t> </w:t>
      </w:r>
      <w:r w:rsidR="00E32AC8">
        <w:fldChar w:fldCharType="end"/>
      </w:r>
      <w:r w:rsidR="00E32AC8">
        <w:t xml:space="preserve"> </w:t>
      </w:r>
      <w:r w:rsidR="00E32AC8">
        <w:rPr>
          <w:color w:val="000000"/>
        </w:rPr>
        <w:t xml:space="preserve">through </w:t>
      </w:r>
      <w:r w:rsidR="00E32AC8">
        <w:fldChar w:fldCharType="begin">
          <w:ffData>
            <w:name w:val="Text37"/>
            <w:enabled/>
            <w:calcOnExit w:val="0"/>
            <w:helpText w:type="text" w:val=" "/>
            <w:textInput/>
          </w:ffData>
        </w:fldChar>
      </w:r>
      <w:r w:rsidR="00E32AC8">
        <w:instrText xml:space="preserve"> FORMTEXT </w:instrText>
      </w:r>
      <w:r w:rsidR="00E32AC8">
        <w:fldChar w:fldCharType="separate"/>
      </w:r>
      <w:r w:rsidR="00E32AC8">
        <w:rPr>
          <w:noProof/>
        </w:rPr>
        <w:t> </w:t>
      </w:r>
      <w:r w:rsidR="00E32AC8">
        <w:rPr>
          <w:noProof/>
        </w:rPr>
        <w:t> </w:t>
      </w:r>
      <w:r w:rsidR="00E32AC8">
        <w:rPr>
          <w:noProof/>
        </w:rPr>
        <w:t> </w:t>
      </w:r>
      <w:r w:rsidR="00E32AC8">
        <w:rPr>
          <w:noProof/>
        </w:rPr>
        <w:t> </w:t>
      </w:r>
      <w:r w:rsidR="00E32AC8">
        <w:rPr>
          <w:noProof/>
        </w:rPr>
        <w:t> </w:t>
      </w:r>
      <w:r w:rsidR="00E32AC8">
        <w:fldChar w:fldCharType="end"/>
      </w:r>
      <w:r w:rsidR="00E32AC8">
        <w:rPr>
          <w:color w:val="000000"/>
        </w:rPr>
        <w:t>, 20</w:t>
      </w:r>
      <w:r w:rsidR="00E32AC8">
        <w:fldChar w:fldCharType="begin">
          <w:ffData>
            <w:name w:val=""/>
            <w:enabled/>
            <w:calcOnExit w:val="0"/>
            <w:helpText w:type="text" w:val=" "/>
            <w:textInput>
              <w:maxLength w:val="2"/>
            </w:textInput>
          </w:ffData>
        </w:fldChar>
      </w:r>
      <w:r w:rsidR="00E32AC8">
        <w:instrText xml:space="preserve"> FORMTEXT </w:instrText>
      </w:r>
      <w:r w:rsidR="00E32AC8">
        <w:fldChar w:fldCharType="separate"/>
      </w:r>
      <w:r w:rsidR="00E32AC8">
        <w:rPr>
          <w:noProof/>
        </w:rPr>
        <w:t> </w:t>
      </w:r>
      <w:r w:rsidR="00E32AC8">
        <w:rPr>
          <w:noProof/>
        </w:rPr>
        <w:t> </w:t>
      </w:r>
      <w:r w:rsidR="00E32AC8">
        <w:fldChar w:fldCharType="end"/>
      </w:r>
      <w:r w:rsidR="00E32AC8">
        <w:rPr>
          <w:color w:val="000000"/>
        </w:rPr>
        <w:t xml:space="preserve"> (the “</w:t>
      </w:r>
      <w:r w:rsidR="00E32AC8">
        <w:rPr>
          <w:b/>
          <w:color w:val="000000"/>
        </w:rPr>
        <w:t>Term</w:t>
      </w:r>
      <w:r w:rsidR="00E32AC8">
        <w:rPr>
          <w:color w:val="000000"/>
        </w:rPr>
        <w:t>”).</w:t>
      </w:r>
    </w:p>
    <w:p w14:paraId="4960FD4B" w14:textId="77777777" w:rsidR="00E32AC8" w:rsidRDefault="00E32AC8">
      <w:pPr>
        <w:rPr>
          <w:color w:val="000000"/>
        </w:rPr>
      </w:pPr>
    </w:p>
    <w:p w14:paraId="28E2125F" w14:textId="77777777" w:rsidR="00E32AC8" w:rsidRDefault="00E32AC8">
      <w:pPr>
        <w:rPr>
          <w:b/>
          <w:bCs/>
          <w:color w:val="000000"/>
        </w:rPr>
      </w:pPr>
      <w:r>
        <w:rPr>
          <w:b/>
          <w:bCs/>
          <w:color w:val="000000"/>
        </w:rPr>
        <w:t>1.</w:t>
      </w:r>
      <w:r>
        <w:rPr>
          <w:color w:val="000000"/>
        </w:rPr>
        <w:tab/>
      </w:r>
      <w:r>
        <w:rPr>
          <w:b/>
          <w:bCs/>
          <w:color w:val="000000"/>
        </w:rPr>
        <w:t>Vendor Information.</w:t>
      </w:r>
    </w:p>
    <w:p w14:paraId="03E77E1D" w14:textId="18FDC445" w:rsidR="00E32AC8" w:rsidRDefault="00E32AC8">
      <w:pPr>
        <w:pStyle w:val="Footer"/>
        <w:tabs>
          <w:tab w:val="clear" w:pos="4320"/>
          <w:tab w:val="clear" w:pos="8640"/>
        </w:tabs>
        <w:rPr>
          <w:rFonts w:ascii="Times New Roman" w:hAnsi="Times New Roman" w:cs="Times New Roman"/>
          <w:color w:val="000000"/>
        </w:rPr>
      </w:pPr>
      <w:r>
        <w:rPr>
          <w:rFonts w:ascii="Times New Roman" w:hAnsi="Times New Roman" w:cs="Times New Roman"/>
          <w:color w:val="000000"/>
        </w:rPr>
        <w:tab/>
      </w:r>
      <w:r w:rsidR="005579F3">
        <w:rPr>
          <w:rFonts w:ascii="Times New Roman" w:hAnsi="Times New Roman" w:cs="Times New Roman"/>
          <w:color w:val="000000"/>
        </w:rPr>
        <w:t xml:space="preserve">Business </w:t>
      </w:r>
      <w:r>
        <w:rPr>
          <w:rFonts w:ascii="Times New Roman" w:hAnsi="Times New Roman" w:cs="Times New Roman"/>
          <w:color w:val="000000"/>
        </w:rPr>
        <w:t xml:space="preserve">Name: </w:t>
      </w:r>
      <w:r w:rsidR="006762EC">
        <w:rPr>
          <w:rFonts w:ascii="Times New Roman" w:hAnsi="Times New Roman" w:cs="Times New Roman"/>
          <w:color w:val="000000"/>
        </w:rPr>
        <w:t xml:space="preserve"> </w:t>
      </w:r>
      <w:r>
        <w:rPr>
          <w:rFonts w:ascii="Times New Roman" w:hAnsi="Times New Roman" w:cs="Times New Roman"/>
        </w:rPr>
        <w:fldChar w:fldCharType="begin">
          <w:ffData>
            <w:name w:val="Text37"/>
            <w:enabled/>
            <w:calcOnExit w:val="0"/>
            <w:helpText w:type="text" w:val=" "/>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color w:val="000000"/>
        </w:rPr>
        <w:tab/>
      </w:r>
    </w:p>
    <w:p w14:paraId="62DDC978" w14:textId="0BAF7198" w:rsidR="00E32AC8" w:rsidRDefault="00E32AC8">
      <w:pPr>
        <w:rPr>
          <w:color w:val="000000"/>
        </w:rPr>
      </w:pPr>
      <w:r>
        <w:rPr>
          <w:color w:val="000000"/>
        </w:rPr>
        <w:tab/>
        <w:t xml:space="preserve">Address: </w:t>
      </w:r>
      <w:r w:rsidR="006762EC">
        <w:rPr>
          <w:color w:val="000000"/>
        </w:rPr>
        <w:t xml:space="preserve"> </w:t>
      </w:r>
      <w:r>
        <w:fldChar w:fldCharType="begin">
          <w:ffData>
            <w:name w:val="Text37"/>
            <w:enabled/>
            <w:calcOnExit w:val="0"/>
            <w:helpText w:type="text" w:val="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color w:val="000000"/>
        </w:rPr>
        <w:t xml:space="preserve">  </w:t>
      </w:r>
    </w:p>
    <w:p w14:paraId="7186DD81" w14:textId="78408D67" w:rsidR="00E32AC8" w:rsidRDefault="00E32AC8">
      <w:pPr>
        <w:ind w:firstLine="720"/>
        <w:rPr>
          <w:color w:val="000000"/>
        </w:rPr>
      </w:pPr>
      <w:r>
        <w:rPr>
          <w:color w:val="000000"/>
        </w:rPr>
        <w:t xml:space="preserve">Telephone Number:  </w:t>
      </w:r>
      <w:r>
        <w:fldChar w:fldCharType="begin">
          <w:ffData>
            <w:name w:val="Text37"/>
            <w:enabled/>
            <w:calcOnExit w:val="0"/>
            <w:helpText w:type="text" w:val="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EC80B1" w14:textId="013EF81F" w:rsidR="00E32AC8" w:rsidRDefault="00E32AC8">
      <w:r>
        <w:rPr>
          <w:color w:val="000000"/>
        </w:rPr>
        <w:tab/>
      </w:r>
      <w:r w:rsidR="005579F3">
        <w:rPr>
          <w:color w:val="000000"/>
        </w:rPr>
        <w:t xml:space="preserve">Email:  </w:t>
      </w:r>
      <w:r w:rsidR="005579F3">
        <w:fldChar w:fldCharType="begin">
          <w:ffData>
            <w:name w:val="Text37"/>
            <w:enabled/>
            <w:calcOnExit w:val="0"/>
            <w:helpText w:type="text" w:val=" "/>
            <w:textInput/>
          </w:ffData>
        </w:fldChar>
      </w:r>
      <w:r w:rsidR="005579F3">
        <w:instrText xml:space="preserve"> FORMTEXT </w:instrText>
      </w:r>
      <w:r w:rsidR="005579F3">
        <w:fldChar w:fldCharType="separate"/>
      </w:r>
      <w:r w:rsidR="005579F3">
        <w:rPr>
          <w:noProof/>
        </w:rPr>
        <w:t> </w:t>
      </w:r>
      <w:r w:rsidR="005579F3">
        <w:rPr>
          <w:noProof/>
        </w:rPr>
        <w:t> </w:t>
      </w:r>
      <w:r w:rsidR="005579F3">
        <w:rPr>
          <w:noProof/>
        </w:rPr>
        <w:t> </w:t>
      </w:r>
      <w:r w:rsidR="005579F3">
        <w:rPr>
          <w:noProof/>
        </w:rPr>
        <w:t> </w:t>
      </w:r>
      <w:r w:rsidR="005579F3">
        <w:rPr>
          <w:noProof/>
        </w:rPr>
        <w:t> </w:t>
      </w:r>
      <w:r w:rsidR="005579F3">
        <w:fldChar w:fldCharType="end"/>
      </w:r>
    </w:p>
    <w:p w14:paraId="5D405328" w14:textId="4F1783CD" w:rsidR="005579F3" w:rsidRDefault="005579F3" w:rsidP="005579F3">
      <w:pPr>
        <w:ind w:firstLine="720"/>
      </w:pPr>
      <w:r>
        <w:rPr>
          <w:color w:val="000000"/>
        </w:rPr>
        <w:t xml:space="preserve">Preferred Contact Person and method (if different from above):  </w:t>
      </w:r>
      <w:r>
        <w:fldChar w:fldCharType="begin">
          <w:ffData>
            <w:name w:val="Text37"/>
            <w:enabled/>
            <w:calcOnExit w:val="0"/>
            <w:helpText w:type="text" w:val="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3988BC" w14:textId="77777777" w:rsidR="005579F3" w:rsidRDefault="005579F3">
      <w:pPr>
        <w:rPr>
          <w:color w:val="000000"/>
        </w:rPr>
      </w:pPr>
    </w:p>
    <w:p w14:paraId="5511F69E" w14:textId="581288C3" w:rsidR="00E32AC8" w:rsidRDefault="00E32AC8">
      <w:pPr>
        <w:pStyle w:val="BodyText"/>
        <w:rPr>
          <w:color w:val="000000"/>
        </w:rPr>
      </w:pPr>
      <w:r>
        <w:rPr>
          <w:b/>
          <w:bCs/>
          <w:color w:val="000000"/>
        </w:rPr>
        <w:t>2.</w:t>
      </w:r>
      <w:r>
        <w:rPr>
          <w:b/>
          <w:bCs/>
          <w:color w:val="000000"/>
        </w:rPr>
        <w:tab/>
        <w:t>Permitted Products.</w:t>
      </w:r>
      <w:r>
        <w:rPr>
          <w:color w:val="000000"/>
        </w:rPr>
        <w:t xml:space="preserve">  Vendor’s products must be grown by Vendor and not purchased from a third</w:t>
      </w:r>
      <w:r w:rsidR="00AA7164">
        <w:rPr>
          <w:color w:val="000000"/>
        </w:rPr>
        <w:t>-</w:t>
      </w:r>
      <w:r>
        <w:rPr>
          <w:color w:val="000000"/>
        </w:rPr>
        <w:t xml:space="preserve">party distributor.  Only the products listed in the opening paragraph may be sold.   </w:t>
      </w:r>
    </w:p>
    <w:p w14:paraId="2D2EEFF4" w14:textId="77777777" w:rsidR="00E32AC8" w:rsidRDefault="00E32AC8">
      <w:pPr>
        <w:pStyle w:val="Footer"/>
        <w:tabs>
          <w:tab w:val="clear" w:pos="4320"/>
          <w:tab w:val="clear" w:pos="8640"/>
        </w:tabs>
        <w:rPr>
          <w:rFonts w:ascii="Times New Roman" w:hAnsi="Times New Roman" w:cs="Times New Roman"/>
          <w:b/>
          <w:bCs/>
          <w:color w:val="000000"/>
        </w:rPr>
      </w:pPr>
    </w:p>
    <w:p w14:paraId="7CB83456" w14:textId="28032EE4" w:rsidR="00E32AC8" w:rsidRDefault="00E32AC8">
      <w:pPr>
        <w:pStyle w:val="BodyText"/>
        <w:rPr>
          <w:color w:val="000000"/>
        </w:rPr>
      </w:pPr>
      <w:r>
        <w:rPr>
          <w:b/>
          <w:bCs/>
          <w:color w:val="000000"/>
        </w:rPr>
        <w:t>3.</w:t>
      </w:r>
      <w:r>
        <w:rPr>
          <w:b/>
          <w:bCs/>
          <w:color w:val="000000"/>
        </w:rPr>
        <w:tab/>
        <w:t>Hours of Operation.</w:t>
      </w:r>
      <w:r w:rsidR="006762EC">
        <w:rPr>
          <w:color w:val="000000"/>
        </w:rPr>
        <w:t xml:space="preserve">  </w:t>
      </w:r>
      <w:r>
        <w:rPr>
          <w:color w:val="000000"/>
        </w:rPr>
        <w:t>University of Minnesota Farmers Market (“</w:t>
      </w:r>
      <w:r>
        <w:rPr>
          <w:b/>
          <w:color w:val="000000"/>
        </w:rPr>
        <w:t>Farmers Market</w:t>
      </w:r>
      <w:r>
        <w:rPr>
          <w:color w:val="000000"/>
        </w:rPr>
        <w:t xml:space="preserve">”) will be open for sales each Wednesday during the Term from </w:t>
      </w:r>
      <w:r>
        <w:fldChar w:fldCharType="begin">
          <w:ffData>
            <w:name w:val="Text37"/>
            <w:enabled/>
            <w:calcOnExit w:val="0"/>
            <w:helpText w:type="text" w:val="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color w:val="000000"/>
        </w:rPr>
        <w:t xml:space="preserve">a.m. to </w:t>
      </w:r>
      <w:r>
        <w:fldChar w:fldCharType="begin">
          <w:ffData>
            <w:name w:val="Text37"/>
            <w:enabled/>
            <w:calcOnExit w:val="0"/>
            <w:helpText w:type="text" w:val="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color w:val="000000"/>
        </w:rPr>
        <w:t xml:space="preserve">p.m.  Vendor may begin set-up no earlier than </w:t>
      </w:r>
      <w:r>
        <w:fldChar w:fldCharType="begin">
          <w:ffData>
            <w:name w:val="Text37"/>
            <w:enabled/>
            <w:calcOnExit w:val="0"/>
            <w:helpText w:type="text" w:val="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color w:val="000000"/>
        </w:rPr>
        <w:t xml:space="preserve">a.m. and must conclude clean-up no later than </w:t>
      </w:r>
      <w:r>
        <w:fldChar w:fldCharType="begin">
          <w:ffData>
            <w:name w:val="Text37"/>
            <w:enabled/>
            <w:calcOnExit w:val="0"/>
            <w:helpText w:type="text" w:val="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color w:val="000000"/>
        </w:rPr>
        <w:t xml:space="preserve">p.m.  </w:t>
      </w:r>
    </w:p>
    <w:p w14:paraId="41BCB922" w14:textId="77777777" w:rsidR="00E32AC8" w:rsidRDefault="00E32AC8">
      <w:pPr>
        <w:pStyle w:val="BodyText"/>
        <w:rPr>
          <w:color w:val="000000"/>
        </w:rPr>
      </w:pPr>
    </w:p>
    <w:p w14:paraId="00172ACB" w14:textId="1D2AA1A5" w:rsidR="00E32AC8" w:rsidRDefault="00E32AC8">
      <w:pPr>
        <w:pStyle w:val="BodyText"/>
        <w:rPr>
          <w:color w:val="000000"/>
        </w:rPr>
      </w:pPr>
      <w:r>
        <w:rPr>
          <w:b/>
          <w:bCs/>
          <w:color w:val="000000"/>
        </w:rPr>
        <w:t>4.</w:t>
      </w:r>
      <w:r>
        <w:rPr>
          <w:b/>
          <w:bCs/>
          <w:color w:val="000000"/>
        </w:rPr>
        <w:tab/>
        <w:t>Vendor Fee.</w:t>
      </w:r>
      <w:r>
        <w:rPr>
          <w:color w:val="000000"/>
        </w:rPr>
        <w:t xml:space="preserve">  Vendor will pay to </w:t>
      </w:r>
      <w:proofErr w:type="gramStart"/>
      <w:r>
        <w:rPr>
          <w:color w:val="000000"/>
        </w:rPr>
        <w:t>University</w:t>
      </w:r>
      <w:proofErr w:type="gramEnd"/>
      <w:r>
        <w:rPr>
          <w:color w:val="000000"/>
        </w:rPr>
        <w:t xml:space="preserve"> a nonrefundable fee of $</w:t>
      </w:r>
      <w:r>
        <w:fldChar w:fldCharType="begin">
          <w:ffData>
            <w:name w:val="Text37"/>
            <w:enabled/>
            <w:calcOnExit w:val="0"/>
            <w:helpText w:type="text" w:val="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color w:val="000000"/>
        </w:rPr>
        <w:t xml:space="preserve"> within 30 days of University’s acceptance and signin</w:t>
      </w:r>
      <w:r w:rsidR="00802A4F">
        <w:rPr>
          <w:color w:val="000000"/>
        </w:rPr>
        <w:t>g of this Vendor Form</w:t>
      </w:r>
      <w:r>
        <w:rPr>
          <w:color w:val="000000"/>
        </w:rPr>
        <w:t xml:space="preserve"> Agreement.  Failure to pay the Vendor Fee by the due date will result in cancellation of this Agreement and forfeiture of Vendor’s right to use a Market Stall.     </w:t>
      </w:r>
    </w:p>
    <w:p w14:paraId="13D14E45" w14:textId="77777777" w:rsidR="00E32AC8" w:rsidRDefault="00E32AC8">
      <w:pPr>
        <w:pStyle w:val="BodyText"/>
        <w:rPr>
          <w:color w:val="000000"/>
        </w:rPr>
      </w:pPr>
    </w:p>
    <w:p w14:paraId="5FB45A19" w14:textId="0787EEFE" w:rsidR="00E32AC8" w:rsidRDefault="00E32AC8">
      <w:pPr>
        <w:pStyle w:val="BodyText"/>
        <w:rPr>
          <w:color w:val="000000"/>
        </w:rPr>
      </w:pPr>
      <w:r>
        <w:rPr>
          <w:b/>
          <w:bCs/>
          <w:color w:val="000000"/>
        </w:rPr>
        <w:t>5.</w:t>
      </w:r>
      <w:r>
        <w:rPr>
          <w:b/>
          <w:bCs/>
          <w:color w:val="000000"/>
        </w:rPr>
        <w:tab/>
        <w:t>Assignment of Market Stall.</w:t>
      </w:r>
      <w:r w:rsidRPr="006762EC">
        <w:rPr>
          <w:color w:val="000000"/>
        </w:rPr>
        <w:t xml:space="preserve">  </w:t>
      </w:r>
      <w:r>
        <w:rPr>
          <w:color w:val="000000"/>
        </w:rPr>
        <w:t>Vendor will be assigned a Market Stall for the duration of the 20</w:t>
      </w:r>
      <w:r>
        <w:fldChar w:fldCharType="begin">
          <w:ffData>
            <w:name w:val=""/>
            <w:enabled/>
            <w:calcOnExit w:val="0"/>
            <w:helpText w:type="text" w:val=" "/>
            <w:textInput>
              <w:maxLength w:val="2"/>
            </w:textInput>
          </w:ffData>
        </w:fldChar>
      </w:r>
      <w:r>
        <w:instrText xml:space="preserve"> FORMTEXT </w:instrText>
      </w:r>
      <w:r>
        <w:fldChar w:fldCharType="separate"/>
      </w:r>
      <w:r>
        <w:rPr>
          <w:noProof/>
        </w:rPr>
        <w:t> </w:t>
      </w:r>
      <w:r>
        <w:rPr>
          <w:noProof/>
        </w:rPr>
        <w:t> </w:t>
      </w:r>
      <w:r>
        <w:fldChar w:fldCharType="end"/>
      </w:r>
      <w:r>
        <w:rPr>
          <w:color w:val="000000"/>
        </w:rPr>
        <w:t xml:space="preserve"> Farmers Market upon arrival at the University on the first day of the 20</w:t>
      </w:r>
      <w:r>
        <w:fldChar w:fldCharType="begin">
          <w:ffData>
            <w:name w:val=""/>
            <w:enabled/>
            <w:calcOnExit w:val="0"/>
            <w:helpText w:type="text" w:val=" "/>
            <w:textInput>
              <w:maxLength w:val="2"/>
            </w:textInput>
          </w:ffData>
        </w:fldChar>
      </w:r>
      <w:r>
        <w:instrText xml:space="preserve"> FORMTEXT </w:instrText>
      </w:r>
      <w:r>
        <w:fldChar w:fldCharType="separate"/>
      </w:r>
      <w:r>
        <w:rPr>
          <w:noProof/>
        </w:rPr>
        <w:t> </w:t>
      </w:r>
      <w:r>
        <w:rPr>
          <w:noProof/>
        </w:rPr>
        <w:t> </w:t>
      </w:r>
      <w:r>
        <w:fldChar w:fldCharType="end"/>
      </w:r>
      <w:r>
        <w:t xml:space="preserve"> </w:t>
      </w:r>
      <w:r>
        <w:rPr>
          <w:color w:val="000000"/>
        </w:rPr>
        <w:t xml:space="preserve">Farmers Market.  Market Stall assignment is subject to change by University’s market manager or by </w:t>
      </w:r>
      <w:r w:rsidR="002A76D9">
        <w:rPr>
          <w:color w:val="000000"/>
        </w:rPr>
        <w:t>their</w:t>
      </w:r>
      <w:r>
        <w:rPr>
          <w:color w:val="000000"/>
        </w:rPr>
        <w:t xml:space="preserve"> </w:t>
      </w:r>
      <w:proofErr w:type="gramStart"/>
      <w:r>
        <w:rPr>
          <w:color w:val="000000"/>
        </w:rPr>
        <w:t>designee</w:t>
      </w:r>
      <w:proofErr w:type="gramEnd"/>
      <w:r>
        <w:rPr>
          <w:color w:val="000000"/>
        </w:rPr>
        <w:t xml:space="preserve"> at any time.  At the conclusion of each Farmers Market and after clean-up, Vendors will exit </w:t>
      </w:r>
      <w:r w:rsidR="00CB2C29">
        <w:rPr>
          <w:color w:val="000000"/>
        </w:rPr>
        <w:t>the Gateway Plaza Area onto Oak Street SE</w:t>
      </w:r>
      <w:r>
        <w:rPr>
          <w:color w:val="000000"/>
        </w:rPr>
        <w:t>.</w:t>
      </w:r>
    </w:p>
    <w:p w14:paraId="24F15EF3" w14:textId="77777777" w:rsidR="00E32AC8" w:rsidRDefault="00E32AC8">
      <w:pPr>
        <w:pStyle w:val="BodyText"/>
        <w:rPr>
          <w:b/>
          <w:bCs/>
          <w:i/>
          <w:iCs/>
          <w:color w:val="000000"/>
        </w:rPr>
      </w:pPr>
    </w:p>
    <w:p w14:paraId="5AD446D3" w14:textId="14CF0E91" w:rsidR="00E32AC8" w:rsidRDefault="00E32AC8">
      <w:pPr>
        <w:pStyle w:val="BodyText"/>
        <w:rPr>
          <w:color w:val="000000"/>
        </w:rPr>
      </w:pPr>
      <w:r>
        <w:rPr>
          <w:b/>
          <w:bCs/>
          <w:color w:val="000000"/>
        </w:rPr>
        <w:t>6.</w:t>
      </w:r>
      <w:r>
        <w:rPr>
          <w:b/>
          <w:bCs/>
          <w:color w:val="000000"/>
        </w:rPr>
        <w:tab/>
        <w:t>Market Stall Guidelines.</w:t>
      </w:r>
      <w:r w:rsidR="006762EC">
        <w:rPr>
          <w:color w:val="000000"/>
        </w:rPr>
        <w:t xml:space="preserve">  </w:t>
      </w:r>
      <w:r>
        <w:rPr>
          <w:color w:val="000000"/>
        </w:rPr>
        <w:t xml:space="preserve">Each Market Stall will consist of no more than </w:t>
      </w:r>
      <w:r>
        <w:t>20</w:t>
      </w:r>
      <w:r>
        <w:rPr>
          <w:color w:val="000000"/>
        </w:rPr>
        <w:t xml:space="preserve"> linear feet of sidewalk space on </w:t>
      </w:r>
      <w:r w:rsidR="00CB2C29">
        <w:rPr>
          <w:color w:val="000000"/>
        </w:rPr>
        <w:t>the Gateway Plaza Area.</w:t>
      </w:r>
      <w:r>
        <w:rPr>
          <w:color w:val="000000"/>
        </w:rPr>
        <w:t xml:space="preserve">  Vendor must unload all products and park its vehicle off-site by </w:t>
      </w:r>
      <w:r>
        <w:fldChar w:fldCharType="begin">
          <w:ffData>
            <w:name w:val="Text37"/>
            <w:enabled/>
            <w:calcOnExit w:val="0"/>
            <w:helpText w:type="text" w:val="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color w:val="000000"/>
        </w:rPr>
        <w:t xml:space="preserve">a.m.  </w:t>
      </w:r>
      <w:proofErr w:type="gramStart"/>
      <w:r>
        <w:rPr>
          <w:color w:val="000000"/>
        </w:rPr>
        <w:t>Vendor</w:t>
      </w:r>
      <w:proofErr w:type="gramEnd"/>
      <w:r>
        <w:rPr>
          <w:color w:val="000000"/>
        </w:rPr>
        <w:t xml:space="preserve"> shall be issued one (1) parking permit per assigned Market Stall for vehicle parking at the </w:t>
      </w:r>
      <w:r w:rsidR="00CB2C29">
        <w:rPr>
          <w:color w:val="000000"/>
        </w:rPr>
        <w:t>Washington Avenue Ramp</w:t>
      </w:r>
      <w:r>
        <w:rPr>
          <w:color w:val="000000"/>
        </w:rPr>
        <w:t xml:space="preserve"> or other University parking facility designated by University.  Vendor’s vehicle(s) must be single axel and not exceed 20 feet in length and 7 feet in height.  </w:t>
      </w:r>
      <w:r>
        <w:rPr>
          <w:bCs/>
          <w:color w:val="000000"/>
        </w:rPr>
        <w:t xml:space="preserve">No vehicles will be permitted to park on grass or in landscaped areas.  No electricity or electrical connections will be provided by </w:t>
      </w:r>
      <w:proofErr w:type="gramStart"/>
      <w:r>
        <w:rPr>
          <w:bCs/>
          <w:color w:val="000000"/>
        </w:rPr>
        <w:t>University</w:t>
      </w:r>
      <w:proofErr w:type="gramEnd"/>
      <w:r>
        <w:rPr>
          <w:bCs/>
          <w:color w:val="000000"/>
        </w:rPr>
        <w:t xml:space="preserve"> and the operation of generators by Vendor will not be permitted.</w:t>
      </w:r>
      <w:r w:rsidR="00CB2C29">
        <w:rPr>
          <w:bCs/>
          <w:color w:val="000000"/>
        </w:rPr>
        <w:t xml:space="preserve">  Tents must </w:t>
      </w:r>
      <w:proofErr w:type="gramStart"/>
      <w:r w:rsidR="00CB2C29">
        <w:rPr>
          <w:bCs/>
          <w:color w:val="000000"/>
        </w:rPr>
        <w:t>cover the Market Stall space at all times</w:t>
      </w:r>
      <w:proofErr w:type="gramEnd"/>
      <w:r w:rsidR="00CB2C29">
        <w:rPr>
          <w:bCs/>
          <w:color w:val="000000"/>
        </w:rPr>
        <w:t>.</w:t>
      </w:r>
    </w:p>
    <w:p w14:paraId="1CADEF7C" w14:textId="77777777" w:rsidR="00E32AC8" w:rsidRDefault="00E32AC8">
      <w:pPr>
        <w:pStyle w:val="BodyText"/>
        <w:rPr>
          <w:color w:val="000000"/>
        </w:rPr>
      </w:pPr>
    </w:p>
    <w:p w14:paraId="57C931ED" w14:textId="42145B08" w:rsidR="00E32AC8" w:rsidRDefault="00E32AC8">
      <w:pPr>
        <w:pStyle w:val="BodyText"/>
        <w:rPr>
          <w:color w:val="000000"/>
        </w:rPr>
      </w:pPr>
      <w:r>
        <w:rPr>
          <w:b/>
          <w:bCs/>
          <w:color w:val="000000"/>
        </w:rPr>
        <w:t>7.</w:t>
      </w:r>
      <w:r>
        <w:rPr>
          <w:b/>
          <w:bCs/>
          <w:color w:val="000000"/>
        </w:rPr>
        <w:tab/>
        <w:t>Compliance with Applicable Laws and Regulations.</w:t>
      </w:r>
      <w:r>
        <w:rPr>
          <w:color w:val="000000"/>
        </w:rPr>
        <w:t xml:space="preserve">  Vendor agrees to comply with all applicable statutes, laws, </w:t>
      </w:r>
      <w:proofErr w:type="gramStart"/>
      <w:r>
        <w:rPr>
          <w:color w:val="000000"/>
        </w:rPr>
        <w:t>ordinances</w:t>
      </w:r>
      <w:proofErr w:type="gramEnd"/>
      <w:r>
        <w:rPr>
          <w:color w:val="000000"/>
        </w:rPr>
        <w:t xml:space="preserve"> and regulations governing Vendor’s use of a Market Stall and the sale of Vendor’s products, including all applicable rules and regulations of University’s Environmental Health &amp; Safety and the Minnesota Department of Agriculture.  </w:t>
      </w:r>
      <w:r w:rsidR="00414628" w:rsidRPr="006762EC">
        <w:rPr>
          <w:color w:val="222222"/>
          <w:shd w:val="clear" w:color="auto" w:fill="FFFFFF"/>
        </w:rPr>
        <w:t>In addition, Vendor agrees to use the Market Stall in accordance with all guidance published by the Centers for Disease Control and Prevention (CDC), the Minnesota Department of Health (MDH), and University related to safe use of the Market Stall.  The foregoing includes, but is not limited to, all CDC, MDH and University guidance related to COVID-19.</w:t>
      </w:r>
      <w:r w:rsidR="00414628">
        <w:rPr>
          <w:rFonts w:ascii="Arial" w:hAnsi="Arial" w:cs="Arial"/>
          <w:color w:val="222222"/>
          <w:shd w:val="clear" w:color="auto" w:fill="FFFFFF"/>
        </w:rPr>
        <w:t xml:space="preserve">  </w:t>
      </w:r>
      <w:proofErr w:type="gramStart"/>
      <w:r>
        <w:rPr>
          <w:color w:val="000000"/>
        </w:rPr>
        <w:t>Vendor</w:t>
      </w:r>
      <w:proofErr w:type="gramEnd"/>
      <w:r>
        <w:rPr>
          <w:color w:val="000000"/>
        </w:rPr>
        <w:t xml:space="preserve"> will be responsible for collection and payment of all applicable taxes related to the sale of its products, including state sales tax.  Vendor shall submit, along with the </w:t>
      </w:r>
      <w:r w:rsidR="00802A4F">
        <w:rPr>
          <w:color w:val="000000"/>
        </w:rPr>
        <w:t>completed Vendor Form</w:t>
      </w:r>
      <w:r>
        <w:rPr>
          <w:color w:val="000000"/>
        </w:rPr>
        <w:t xml:space="preserve"> Agreement, a completed Minnesota Revenue Operator Certificate of Compliance ST19 form or Statement of Qualification Exemption Form, both of which are available from </w:t>
      </w:r>
      <w:proofErr w:type="gramStart"/>
      <w:r>
        <w:rPr>
          <w:color w:val="000000"/>
        </w:rPr>
        <w:t>University</w:t>
      </w:r>
      <w:proofErr w:type="gramEnd"/>
      <w:r>
        <w:rPr>
          <w:color w:val="000000"/>
        </w:rPr>
        <w:t xml:space="preserve">.  No applications for vendor space will be accepted or processed without submission of the completed Minnesota Revenue Operator Certificate of Compliance ST19 form or the Statement of Qualification Exemption form.  </w:t>
      </w:r>
      <w:r w:rsidR="00AA7164">
        <w:rPr>
          <w:color w:val="000000"/>
        </w:rPr>
        <w:t xml:space="preserve">If Vendor accepts Supplemental Nutrition Assistance Program (SNAP) payments, the terms of </w:t>
      </w:r>
      <w:r w:rsidR="00AA7164" w:rsidRPr="005A45CC">
        <w:rPr>
          <w:color w:val="000000"/>
          <w:u w:val="single"/>
        </w:rPr>
        <w:t>Exhibit A</w:t>
      </w:r>
      <w:r w:rsidR="00AA7164">
        <w:rPr>
          <w:color w:val="000000"/>
        </w:rPr>
        <w:t xml:space="preserve"> will </w:t>
      </w:r>
      <w:proofErr w:type="gramStart"/>
      <w:r w:rsidR="00AA7164">
        <w:rPr>
          <w:color w:val="000000"/>
        </w:rPr>
        <w:t>apply</w:t>
      </w:r>
      <w:proofErr w:type="gramEnd"/>
      <w:r w:rsidR="00AA7164">
        <w:rPr>
          <w:color w:val="000000"/>
        </w:rPr>
        <w:t xml:space="preserve"> and Vendor will comply with all federal guidance relating to SNAP.  </w:t>
      </w:r>
      <w:r>
        <w:rPr>
          <w:color w:val="000000"/>
        </w:rPr>
        <w:t>Failure to comply with the terms of this Agreement will result in cancellation of this Agreement and forfeiture of Vendor’s Fee.</w:t>
      </w:r>
    </w:p>
    <w:p w14:paraId="5C8D2EAF" w14:textId="77777777" w:rsidR="00E32AC8" w:rsidRDefault="00E32AC8">
      <w:pPr>
        <w:rPr>
          <w:color w:val="000000"/>
        </w:rPr>
      </w:pPr>
    </w:p>
    <w:p w14:paraId="2F44C465" w14:textId="1AA53B63" w:rsidR="00E32AC8" w:rsidRDefault="00E32AC8">
      <w:pPr>
        <w:jc w:val="both"/>
        <w:rPr>
          <w:color w:val="000000"/>
        </w:rPr>
      </w:pPr>
      <w:r>
        <w:rPr>
          <w:b/>
          <w:bCs/>
          <w:color w:val="000000"/>
        </w:rPr>
        <w:t>8.</w:t>
      </w:r>
      <w:r>
        <w:rPr>
          <w:b/>
          <w:bCs/>
          <w:color w:val="000000"/>
        </w:rPr>
        <w:tab/>
        <w:t>Liability.</w:t>
      </w:r>
      <w:r>
        <w:rPr>
          <w:color w:val="000000"/>
        </w:rPr>
        <w:t xml:space="preserve">  </w:t>
      </w:r>
      <w:r>
        <w:t xml:space="preserve">Vendor agrees to release, </w:t>
      </w:r>
      <w:proofErr w:type="gramStart"/>
      <w:r>
        <w:t>indemnify</w:t>
      </w:r>
      <w:proofErr w:type="gramEnd"/>
      <w:r>
        <w:t xml:space="preserve"> and hold harmless University from any and all claims for loss of or damage to property or bodily injury, including personal injury, to persons arising out of Vendor’s participation in the Farmers Market and the sale of Vendor’s products. </w:t>
      </w:r>
      <w:r w:rsidR="006762EC">
        <w:t xml:space="preserve"> </w:t>
      </w:r>
      <w:proofErr w:type="gramStart"/>
      <w:r>
        <w:rPr>
          <w:color w:val="000000"/>
        </w:rPr>
        <w:t>Vendor</w:t>
      </w:r>
      <w:proofErr w:type="gramEnd"/>
      <w:r>
        <w:rPr>
          <w:color w:val="000000"/>
        </w:rPr>
        <w:t xml:space="preserve"> understands that University is not responsible for loss or damage to Vendor’s property or goods.  In no event shall University be liable for any indirect, consequential, incidental, lost profits or like expectancy damages arising out of this Agreement.  </w:t>
      </w:r>
    </w:p>
    <w:p w14:paraId="7C2F21D7" w14:textId="77777777" w:rsidR="00E32AC8" w:rsidRDefault="00E32AC8">
      <w:pPr>
        <w:pStyle w:val="BodyText"/>
        <w:rPr>
          <w:color w:val="000000"/>
        </w:rPr>
      </w:pPr>
    </w:p>
    <w:p w14:paraId="37323C6D" w14:textId="77777777" w:rsidR="00E32AC8" w:rsidRDefault="00E32AC8">
      <w:pPr>
        <w:pStyle w:val="BodyText"/>
        <w:rPr>
          <w:color w:val="000000"/>
        </w:rPr>
      </w:pPr>
      <w:r>
        <w:rPr>
          <w:b/>
          <w:color w:val="000000"/>
        </w:rPr>
        <w:t>9.</w:t>
      </w:r>
      <w:r>
        <w:rPr>
          <w:b/>
          <w:color w:val="000000"/>
        </w:rPr>
        <w:tab/>
        <w:t>Insurance.</w:t>
      </w:r>
      <w:r>
        <w:rPr>
          <w:color w:val="000000"/>
        </w:rPr>
        <w:t xml:space="preserve">  Vendor shall provide a Certificate of Insurance evidencing Vendor’s policies of (i) commercial general liability coverage with limits of not less than $1,000,000 per occurrence, naming Regents of the University of Minnesota as an additional insured; (ii) automobile liability insurance with minimum limits required by law; and (iii) workers compensation insurance to the extent required by law.  These policies shall provide that the insurance coverage shall not be canceled, materially modified or non-renewed before the end of the term of this Agreement without written notice to </w:t>
      </w:r>
      <w:proofErr w:type="gramStart"/>
      <w:r>
        <w:rPr>
          <w:color w:val="000000"/>
        </w:rPr>
        <w:t>University</w:t>
      </w:r>
      <w:proofErr w:type="gramEnd"/>
      <w:r>
        <w:rPr>
          <w:color w:val="000000"/>
        </w:rPr>
        <w:t>.</w:t>
      </w:r>
    </w:p>
    <w:p w14:paraId="1D44FD3D" w14:textId="77777777" w:rsidR="00E32AC8" w:rsidRDefault="00E32AC8">
      <w:pPr>
        <w:pStyle w:val="BodyText"/>
        <w:rPr>
          <w:color w:val="000000"/>
        </w:rPr>
      </w:pPr>
    </w:p>
    <w:p w14:paraId="7AB3C641" w14:textId="4FE40BEC" w:rsidR="00E32AC8" w:rsidRDefault="00E32AC8">
      <w:pPr>
        <w:pStyle w:val="BodyText"/>
        <w:rPr>
          <w:color w:val="000000"/>
        </w:rPr>
      </w:pPr>
      <w:r>
        <w:rPr>
          <w:b/>
          <w:bCs/>
          <w:color w:val="000000"/>
        </w:rPr>
        <w:t>10.</w:t>
      </w:r>
      <w:r>
        <w:rPr>
          <w:b/>
          <w:bCs/>
          <w:color w:val="000000"/>
        </w:rPr>
        <w:tab/>
        <w:t>Trash Disposal.</w:t>
      </w:r>
      <w:r>
        <w:rPr>
          <w:color w:val="000000"/>
        </w:rPr>
        <w:t xml:space="preserve">  </w:t>
      </w:r>
      <w:proofErr w:type="gramStart"/>
      <w:r>
        <w:rPr>
          <w:color w:val="000000"/>
        </w:rPr>
        <w:t>Vendor</w:t>
      </w:r>
      <w:proofErr w:type="gramEnd"/>
      <w:r>
        <w:rPr>
          <w:color w:val="000000"/>
        </w:rPr>
        <w:t xml:space="preserve"> will not be permitted to dispose of surplus or spoiled products or other trash on </w:t>
      </w:r>
      <w:proofErr w:type="gramStart"/>
      <w:r>
        <w:rPr>
          <w:color w:val="000000"/>
        </w:rPr>
        <w:t>University</w:t>
      </w:r>
      <w:proofErr w:type="gramEnd"/>
      <w:r>
        <w:rPr>
          <w:color w:val="000000"/>
        </w:rPr>
        <w:t xml:space="preserve"> property.   </w:t>
      </w:r>
    </w:p>
    <w:p w14:paraId="5DC99530" w14:textId="77777777" w:rsidR="00E32AC8" w:rsidRDefault="00E32AC8">
      <w:pPr>
        <w:jc w:val="both"/>
        <w:rPr>
          <w:color w:val="000000"/>
        </w:rPr>
      </w:pPr>
    </w:p>
    <w:p w14:paraId="196D29BB" w14:textId="7AAA3718" w:rsidR="00E32AC8" w:rsidRDefault="00E32AC8">
      <w:pPr>
        <w:jc w:val="both"/>
        <w:rPr>
          <w:color w:val="000000"/>
        </w:rPr>
      </w:pPr>
      <w:r>
        <w:rPr>
          <w:b/>
          <w:bCs/>
          <w:color w:val="000000"/>
        </w:rPr>
        <w:t>11.</w:t>
      </w:r>
      <w:r>
        <w:rPr>
          <w:b/>
          <w:bCs/>
          <w:color w:val="000000"/>
        </w:rPr>
        <w:tab/>
        <w:t>Assignment.</w:t>
      </w:r>
      <w:r>
        <w:rPr>
          <w:color w:val="000000"/>
        </w:rPr>
        <w:t xml:space="preserve">  This Agreement is not assignable.  </w:t>
      </w:r>
    </w:p>
    <w:p w14:paraId="0BE6B5DE" w14:textId="77777777" w:rsidR="00E32AC8" w:rsidRDefault="00E32AC8">
      <w:pPr>
        <w:jc w:val="both"/>
        <w:rPr>
          <w:color w:val="000000"/>
        </w:rPr>
      </w:pPr>
    </w:p>
    <w:p w14:paraId="2CDBAB57" w14:textId="77777777" w:rsidR="00E32AC8" w:rsidRDefault="00E32AC8">
      <w:pPr>
        <w:jc w:val="both"/>
        <w:rPr>
          <w:color w:val="000000"/>
        </w:rPr>
      </w:pPr>
      <w:r>
        <w:rPr>
          <w:b/>
          <w:bCs/>
          <w:color w:val="000000"/>
        </w:rPr>
        <w:t>12.</w:t>
      </w:r>
      <w:r>
        <w:rPr>
          <w:b/>
          <w:bCs/>
          <w:color w:val="000000"/>
        </w:rPr>
        <w:tab/>
        <w:t>Force Majeure.</w:t>
      </w:r>
      <w:r>
        <w:rPr>
          <w:color w:val="000000"/>
        </w:rPr>
        <w:t xml:space="preserve">  Neither party will be responsible for any delays or failure to perform any obligation under this Agreement due to acts of God, strikes or other disturbances, including, without limitation, terrorist acts, war, insurrection, embargoes, governmental restrictions, acts of governments or governmental authorities, and any other cause beyond the control of such party.</w:t>
      </w:r>
    </w:p>
    <w:p w14:paraId="0248EA19" w14:textId="77777777" w:rsidR="00E32AC8" w:rsidRDefault="00E32AC8">
      <w:pPr>
        <w:jc w:val="both"/>
        <w:rPr>
          <w:color w:val="000000"/>
        </w:rPr>
      </w:pPr>
    </w:p>
    <w:p w14:paraId="42496B1E" w14:textId="77777777" w:rsidR="00E32AC8" w:rsidRDefault="00E32AC8">
      <w:pPr>
        <w:pStyle w:val="Footer"/>
        <w:tabs>
          <w:tab w:val="clear" w:pos="4320"/>
          <w:tab w:val="clear" w:pos="8640"/>
        </w:tabs>
        <w:jc w:val="both"/>
        <w:rPr>
          <w:rFonts w:ascii="Times New Roman" w:hAnsi="Times New Roman" w:cs="Times New Roman"/>
          <w:color w:val="000000"/>
        </w:rPr>
      </w:pPr>
      <w:r>
        <w:rPr>
          <w:rFonts w:ascii="Times New Roman" w:hAnsi="Times New Roman" w:cs="Times New Roman"/>
          <w:b/>
          <w:bCs/>
          <w:color w:val="000000"/>
        </w:rPr>
        <w:lastRenderedPageBreak/>
        <w:t>13.</w:t>
      </w:r>
      <w:r>
        <w:rPr>
          <w:rFonts w:ascii="Times New Roman" w:hAnsi="Times New Roman" w:cs="Times New Roman"/>
          <w:b/>
          <w:bCs/>
          <w:color w:val="000000"/>
        </w:rPr>
        <w:tab/>
        <w:t>Use of University Name or Logo.</w:t>
      </w:r>
      <w:r>
        <w:rPr>
          <w:rFonts w:ascii="Times New Roman" w:hAnsi="Times New Roman" w:cs="Times New Roman"/>
          <w:color w:val="000000"/>
        </w:rPr>
        <w:t xml:space="preserve">  Vendor will not use the name, logo, or any other marks (including, but not limited to, colors and music) owned by or associated with the University or the name of any representative of the University in any sales promotion work or advertising, or any form of publicity, without the written permission of the University in each instance.</w:t>
      </w:r>
    </w:p>
    <w:p w14:paraId="159F33EC" w14:textId="77777777" w:rsidR="00E32AC8" w:rsidRDefault="00E32AC8">
      <w:pPr>
        <w:pStyle w:val="Footer"/>
        <w:tabs>
          <w:tab w:val="clear" w:pos="4320"/>
          <w:tab w:val="clear" w:pos="8640"/>
        </w:tabs>
        <w:jc w:val="both"/>
        <w:rPr>
          <w:rFonts w:ascii="Times New Roman" w:hAnsi="Times New Roman" w:cs="Times New Roman"/>
          <w:color w:val="000000"/>
        </w:rPr>
      </w:pPr>
    </w:p>
    <w:p w14:paraId="17979CEF" w14:textId="77777777" w:rsidR="00E32AC8" w:rsidRDefault="00E32AC8">
      <w:pPr>
        <w:jc w:val="both"/>
        <w:rPr>
          <w:color w:val="000000"/>
        </w:rPr>
      </w:pPr>
      <w:r>
        <w:rPr>
          <w:b/>
          <w:bCs/>
          <w:color w:val="000000"/>
        </w:rPr>
        <w:t>14.</w:t>
      </w:r>
      <w:r>
        <w:rPr>
          <w:b/>
          <w:bCs/>
          <w:color w:val="000000"/>
        </w:rPr>
        <w:tab/>
        <w:t>Governing Law; Forum.</w:t>
      </w:r>
      <w:r w:rsidRPr="006762EC">
        <w:rPr>
          <w:color w:val="000000"/>
        </w:rPr>
        <w:t xml:space="preserve"> </w:t>
      </w:r>
      <w:r>
        <w:rPr>
          <w:color w:val="000000"/>
        </w:rPr>
        <w:t xml:space="preserve"> The laws of the state of Minnesota shall govern the validity, </w:t>
      </w:r>
      <w:proofErr w:type="gramStart"/>
      <w:r>
        <w:rPr>
          <w:color w:val="000000"/>
        </w:rPr>
        <w:t>construction</w:t>
      </w:r>
      <w:proofErr w:type="gramEnd"/>
      <w:r>
        <w:rPr>
          <w:color w:val="000000"/>
        </w:rPr>
        <w:t xml:space="preserve"> and enforceability of this Agreement.  All suits, actions, </w:t>
      </w:r>
      <w:proofErr w:type="gramStart"/>
      <w:r>
        <w:rPr>
          <w:color w:val="000000"/>
        </w:rPr>
        <w:t>claims</w:t>
      </w:r>
      <w:proofErr w:type="gramEnd"/>
      <w:r>
        <w:rPr>
          <w:color w:val="000000"/>
        </w:rPr>
        <w:t xml:space="preserve"> and causes of action relating to the construction, validity, performance and enforcement of this Agreement shall be brought in the state courts of Minnesota.</w:t>
      </w:r>
    </w:p>
    <w:p w14:paraId="2E6C3925" w14:textId="77777777" w:rsidR="00E32AC8" w:rsidRDefault="00E32AC8">
      <w:pPr>
        <w:jc w:val="both"/>
        <w:rPr>
          <w:color w:val="000000"/>
        </w:rPr>
      </w:pPr>
    </w:p>
    <w:p w14:paraId="08D8FC63" w14:textId="77777777" w:rsidR="00E32AC8" w:rsidRDefault="00E32AC8">
      <w:pPr>
        <w:tabs>
          <w:tab w:val="left" w:pos="-1440"/>
          <w:tab w:val="left" w:pos="-960"/>
          <w:tab w:val="left" w:pos="-240"/>
        </w:tabs>
        <w:jc w:val="both"/>
        <w:rPr>
          <w:color w:val="000000"/>
        </w:rPr>
      </w:pPr>
      <w:r>
        <w:rPr>
          <w:b/>
          <w:bCs/>
          <w:color w:val="000000"/>
        </w:rPr>
        <w:t>15.</w:t>
      </w:r>
      <w:r>
        <w:rPr>
          <w:b/>
          <w:bCs/>
          <w:color w:val="000000"/>
        </w:rPr>
        <w:tab/>
        <w:t>Entire Agreement.</w:t>
      </w:r>
      <w:r w:rsidRPr="006762EC">
        <w:rPr>
          <w:color w:val="000000"/>
        </w:rPr>
        <w:t xml:space="preserve"> </w:t>
      </w:r>
      <w:r>
        <w:rPr>
          <w:color w:val="000000"/>
        </w:rPr>
        <w:t xml:space="preserve"> This Agreement (including all exhibits, if any) is intended by the parties as the final and binding expression of their agreement and as the complete and exclusive statement of its terms.  </w:t>
      </w:r>
    </w:p>
    <w:p w14:paraId="0757216F" w14:textId="77777777" w:rsidR="00E32AC8" w:rsidRDefault="00E32AC8">
      <w:pPr>
        <w:pStyle w:val="Heading1"/>
        <w:jc w:val="left"/>
        <w:rPr>
          <w:color w:val="000000"/>
        </w:rPr>
      </w:pPr>
    </w:p>
    <w:p w14:paraId="34AA4D08" w14:textId="77777777" w:rsidR="00E32AC8" w:rsidRDefault="00E32AC8">
      <w:pPr>
        <w:jc w:val="both"/>
        <w:rPr>
          <w:color w:val="000000"/>
        </w:rPr>
      </w:pPr>
      <w:r>
        <w:rPr>
          <w:color w:val="000000"/>
        </w:rPr>
        <w:tab/>
      </w:r>
      <w:r>
        <w:rPr>
          <w:b/>
          <w:bCs/>
          <w:color w:val="000000"/>
        </w:rPr>
        <w:t>IN WITNESS WHEREOF</w:t>
      </w:r>
      <w:r>
        <w:rPr>
          <w:color w:val="000000"/>
        </w:rPr>
        <w:t>, University and Vendor have executed this Agreement as of the date set forth above.</w:t>
      </w:r>
    </w:p>
    <w:p w14:paraId="0459FE1B" w14:textId="77777777" w:rsidR="00E32AC8" w:rsidRDefault="00E32A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p>
    <w:p w14:paraId="0B760F41" w14:textId="77777777" w:rsidR="00E32AC8" w:rsidRDefault="00E32AC8">
      <w:pPr>
        <w:tabs>
          <w:tab w:val="left" w:pos="5040"/>
          <w:tab w:val="right" w:pos="9360"/>
        </w:tabs>
        <w:jc w:val="both"/>
        <w:rPr>
          <w:color w:val="000000"/>
        </w:rPr>
      </w:pPr>
      <w:r>
        <w:rPr>
          <w:b/>
          <w:bCs/>
          <w:color w:val="000000"/>
        </w:rPr>
        <w:t>Regents of the University of Minnesota</w:t>
      </w:r>
      <w:r>
        <w:rPr>
          <w:b/>
          <w:bCs/>
          <w:color w:val="000000"/>
        </w:rPr>
        <w:tab/>
        <w:t xml:space="preserve">Vendor:  </w:t>
      </w:r>
      <w:r>
        <w:rPr>
          <w:b/>
        </w:rPr>
        <w:fldChar w:fldCharType="begin">
          <w:ffData>
            <w:name w:val=""/>
            <w:enabled/>
            <w:calcOnExit w:val="0"/>
            <w:helpText w:type="text" w:val=" "/>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B33E1FE" w14:textId="77777777" w:rsidR="00E32AC8" w:rsidRDefault="00E32AC8">
      <w:pPr>
        <w:jc w:val="both"/>
        <w:rPr>
          <w:color w:val="000000"/>
        </w:rPr>
      </w:pPr>
    </w:p>
    <w:p w14:paraId="20719BA7" w14:textId="77777777" w:rsidR="00E32AC8" w:rsidRDefault="00E32AC8">
      <w:pPr>
        <w:jc w:val="both"/>
        <w:rPr>
          <w:color w:val="000000"/>
        </w:rPr>
      </w:pPr>
    </w:p>
    <w:tbl>
      <w:tblPr>
        <w:tblW w:w="0" w:type="auto"/>
        <w:tblLook w:val="0000" w:firstRow="0" w:lastRow="0" w:firstColumn="0" w:lastColumn="0" w:noHBand="0" w:noVBand="0"/>
      </w:tblPr>
      <w:tblGrid>
        <w:gridCol w:w="4824"/>
        <w:gridCol w:w="4536"/>
      </w:tblGrid>
      <w:tr w:rsidR="00E32AC8" w14:paraId="633F3824" w14:textId="77777777">
        <w:tc>
          <w:tcPr>
            <w:tcW w:w="5067" w:type="dxa"/>
          </w:tcPr>
          <w:p w14:paraId="416D08FE" w14:textId="77777777" w:rsidR="00E32AC8" w:rsidRDefault="00E32AC8">
            <w:pPr>
              <w:tabs>
                <w:tab w:val="left" w:pos="4320"/>
                <w:tab w:val="left" w:pos="5040"/>
                <w:tab w:val="right" w:pos="9360"/>
              </w:tabs>
              <w:spacing w:line="360" w:lineRule="auto"/>
              <w:jc w:val="both"/>
              <w:rPr>
                <w:color w:val="000000"/>
              </w:rPr>
            </w:pPr>
            <w:r>
              <w:rPr>
                <w:color w:val="000000"/>
              </w:rPr>
              <w:t>By:</w:t>
            </w:r>
            <w:r>
              <w:rPr>
                <w:color w:val="000000"/>
                <w:u w:val="single"/>
              </w:rPr>
              <w:tab/>
            </w:r>
          </w:p>
        </w:tc>
        <w:tc>
          <w:tcPr>
            <w:tcW w:w="4509" w:type="dxa"/>
          </w:tcPr>
          <w:p w14:paraId="0EFEE260" w14:textId="77777777" w:rsidR="00E32AC8" w:rsidRDefault="00E32AC8">
            <w:pPr>
              <w:tabs>
                <w:tab w:val="left" w:pos="4320"/>
                <w:tab w:val="left" w:pos="5040"/>
                <w:tab w:val="right" w:pos="9360"/>
              </w:tabs>
              <w:spacing w:line="360" w:lineRule="auto"/>
              <w:jc w:val="both"/>
              <w:rPr>
                <w:color w:val="000000"/>
              </w:rPr>
            </w:pPr>
            <w:r>
              <w:rPr>
                <w:color w:val="000000"/>
                <w:u w:val="single"/>
              </w:rPr>
              <w:tab/>
            </w:r>
          </w:p>
        </w:tc>
      </w:tr>
      <w:tr w:rsidR="00E32AC8" w14:paraId="0D5E1273" w14:textId="77777777">
        <w:tc>
          <w:tcPr>
            <w:tcW w:w="5067" w:type="dxa"/>
          </w:tcPr>
          <w:p w14:paraId="0B59B0EC" w14:textId="77777777" w:rsidR="00E32AC8" w:rsidRDefault="00E32AC8">
            <w:pPr>
              <w:tabs>
                <w:tab w:val="left" w:pos="4320"/>
                <w:tab w:val="left" w:pos="5040"/>
                <w:tab w:val="right" w:pos="9360"/>
              </w:tabs>
              <w:spacing w:line="360" w:lineRule="auto"/>
              <w:jc w:val="both"/>
              <w:rPr>
                <w:color w:val="000000"/>
              </w:rPr>
            </w:pPr>
            <w:r>
              <w:rPr>
                <w:color w:val="000000"/>
              </w:rPr>
              <w:t xml:space="preserve">Name:  </w:t>
            </w:r>
            <w:bookmarkStart w:id="1" w:name="Text32"/>
            <w:r>
              <w:rPr>
                <w:color w:val="000000"/>
              </w:rPr>
              <w:fldChar w:fldCharType="begin">
                <w:ffData>
                  <w:name w:val="Text3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
          </w:p>
        </w:tc>
        <w:tc>
          <w:tcPr>
            <w:tcW w:w="4509" w:type="dxa"/>
          </w:tcPr>
          <w:p w14:paraId="0AE4FA2C" w14:textId="77777777" w:rsidR="00E32AC8" w:rsidRDefault="00E32AC8">
            <w:pPr>
              <w:tabs>
                <w:tab w:val="left" w:pos="4320"/>
                <w:tab w:val="left" w:pos="5040"/>
                <w:tab w:val="right" w:pos="9360"/>
              </w:tabs>
              <w:spacing w:line="360" w:lineRule="auto"/>
              <w:jc w:val="both"/>
              <w:rPr>
                <w:color w:val="000000"/>
              </w:rPr>
            </w:pPr>
            <w:r>
              <w:rPr>
                <w:color w:val="000000"/>
              </w:rPr>
              <w:t>Signature</w:t>
            </w:r>
          </w:p>
        </w:tc>
      </w:tr>
      <w:tr w:rsidR="00E32AC8" w14:paraId="0B77F140" w14:textId="77777777">
        <w:tc>
          <w:tcPr>
            <w:tcW w:w="5067" w:type="dxa"/>
          </w:tcPr>
          <w:p w14:paraId="6CF67C8C" w14:textId="77777777" w:rsidR="00E32AC8" w:rsidRDefault="00E32AC8">
            <w:pPr>
              <w:tabs>
                <w:tab w:val="left" w:pos="4320"/>
                <w:tab w:val="left" w:pos="5040"/>
                <w:tab w:val="right" w:pos="9360"/>
              </w:tabs>
              <w:spacing w:line="360" w:lineRule="auto"/>
              <w:jc w:val="both"/>
              <w:rPr>
                <w:color w:val="000000"/>
              </w:rPr>
            </w:pPr>
            <w:r>
              <w:rPr>
                <w:color w:val="000000"/>
              </w:rPr>
              <w:t xml:space="preserve">Title:  </w:t>
            </w:r>
            <w:bookmarkStart w:id="2" w:name="Text34"/>
            <w:r>
              <w:rPr>
                <w:color w:val="000000"/>
              </w:rPr>
              <w:fldChar w:fldCharType="begin">
                <w:ffData>
                  <w:name w:val="Text3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
          </w:p>
        </w:tc>
        <w:tc>
          <w:tcPr>
            <w:tcW w:w="4509" w:type="dxa"/>
          </w:tcPr>
          <w:p w14:paraId="4714FE98" w14:textId="77777777" w:rsidR="00E32AC8" w:rsidRDefault="00E32AC8">
            <w:pPr>
              <w:tabs>
                <w:tab w:val="left" w:pos="4320"/>
                <w:tab w:val="left" w:pos="5040"/>
                <w:tab w:val="right" w:pos="9360"/>
              </w:tabs>
              <w:spacing w:line="360" w:lineRule="auto"/>
              <w:jc w:val="both"/>
              <w:rPr>
                <w:color w:val="000000"/>
              </w:rPr>
            </w:pPr>
            <w:r>
              <w:rPr>
                <w:color w:val="000000"/>
              </w:rPr>
              <w:t>Date:</w:t>
            </w:r>
            <w:r>
              <w:rPr>
                <w:color w:val="000000"/>
                <w:u w:val="single"/>
              </w:rPr>
              <w:tab/>
            </w:r>
          </w:p>
        </w:tc>
      </w:tr>
      <w:tr w:rsidR="00E32AC8" w14:paraId="21F01279" w14:textId="77777777">
        <w:tc>
          <w:tcPr>
            <w:tcW w:w="5067" w:type="dxa"/>
          </w:tcPr>
          <w:p w14:paraId="136EEA89" w14:textId="77777777" w:rsidR="00E32AC8" w:rsidRDefault="00E32AC8">
            <w:pPr>
              <w:tabs>
                <w:tab w:val="left" w:pos="4320"/>
                <w:tab w:val="left" w:pos="5040"/>
                <w:tab w:val="right" w:pos="9360"/>
              </w:tabs>
              <w:spacing w:line="360" w:lineRule="auto"/>
              <w:jc w:val="both"/>
              <w:rPr>
                <w:color w:val="000000"/>
              </w:rPr>
            </w:pPr>
            <w:r>
              <w:rPr>
                <w:color w:val="000000"/>
              </w:rPr>
              <w:t>Date:</w:t>
            </w:r>
            <w:r>
              <w:rPr>
                <w:color w:val="000000"/>
                <w:u w:val="single"/>
              </w:rPr>
              <w:tab/>
            </w:r>
          </w:p>
        </w:tc>
        <w:tc>
          <w:tcPr>
            <w:tcW w:w="4509" w:type="dxa"/>
          </w:tcPr>
          <w:p w14:paraId="21284BC9" w14:textId="77777777" w:rsidR="00E32AC8" w:rsidRDefault="00E32AC8">
            <w:pPr>
              <w:tabs>
                <w:tab w:val="left" w:pos="4320"/>
                <w:tab w:val="left" w:pos="5040"/>
                <w:tab w:val="right" w:pos="9360"/>
              </w:tabs>
              <w:spacing w:line="360" w:lineRule="auto"/>
              <w:jc w:val="both"/>
              <w:rPr>
                <w:color w:val="000000"/>
              </w:rPr>
            </w:pPr>
          </w:p>
        </w:tc>
      </w:tr>
    </w:tbl>
    <w:p w14:paraId="6C4DEF25" w14:textId="77777777" w:rsidR="00AF3359" w:rsidRDefault="00AF3359">
      <w:pPr>
        <w:jc w:val="both"/>
        <w:rPr>
          <w:color w:val="000000"/>
          <w:sz w:val="22"/>
          <w:szCs w:val="22"/>
        </w:rPr>
        <w:sectPr w:rsidR="00AF3359" w:rsidSect="00771DDC">
          <w:footerReference w:type="default" r:id="rId9"/>
          <w:headerReference w:type="first" r:id="rId10"/>
          <w:footerReference w:type="first" r:id="rId11"/>
          <w:pgSz w:w="12240" w:h="15840"/>
          <w:pgMar w:top="1440" w:right="1440" w:bottom="1440" w:left="1440" w:header="288" w:footer="720" w:gutter="0"/>
          <w:pgBorders w:zOrder="back" w:offsetFrom="page">
            <w:top w:val="single" w:sz="18" w:space="24" w:color="auto"/>
            <w:left w:val="single" w:sz="18" w:space="24" w:color="auto"/>
            <w:bottom w:val="single" w:sz="18" w:space="24" w:color="auto"/>
            <w:right w:val="single" w:sz="18" w:space="24" w:color="auto"/>
          </w:pgBorders>
          <w:cols w:space="720"/>
          <w:titlePg/>
          <w:docGrid w:linePitch="360"/>
        </w:sectPr>
      </w:pPr>
    </w:p>
    <w:p w14:paraId="00363785" w14:textId="77777777" w:rsidR="00AF3359" w:rsidRDefault="00AF3359" w:rsidP="00AF3359">
      <w:pPr>
        <w:jc w:val="center"/>
        <w:rPr>
          <w:b/>
          <w:bCs/>
          <w:color w:val="000000"/>
          <w:sz w:val="22"/>
          <w:szCs w:val="22"/>
        </w:rPr>
      </w:pPr>
      <w:r>
        <w:rPr>
          <w:b/>
          <w:bCs/>
          <w:color w:val="000000"/>
          <w:sz w:val="22"/>
          <w:szCs w:val="22"/>
        </w:rPr>
        <w:lastRenderedPageBreak/>
        <w:t>EXHIBIT A</w:t>
      </w:r>
    </w:p>
    <w:p w14:paraId="3AFC918E" w14:textId="77777777" w:rsidR="00AF3359" w:rsidRDefault="00AF3359" w:rsidP="00AF3359">
      <w:pPr>
        <w:jc w:val="center"/>
        <w:rPr>
          <w:b/>
          <w:bCs/>
          <w:color w:val="000000"/>
          <w:sz w:val="22"/>
          <w:szCs w:val="22"/>
        </w:rPr>
      </w:pPr>
    </w:p>
    <w:p w14:paraId="0668BCD2" w14:textId="77777777" w:rsidR="00AF3359" w:rsidRPr="00A67F13" w:rsidRDefault="00AF3359" w:rsidP="00AF3359">
      <w:pPr>
        <w:jc w:val="center"/>
        <w:rPr>
          <w:b/>
          <w:bCs/>
          <w:color w:val="000000"/>
        </w:rPr>
      </w:pPr>
      <w:r w:rsidRPr="00A67F13">
        <w:rPr>
          <w:b/>
          <w:bCs/>
          <w:color w:val="000000"/>
        </w:rPr>
        <w:t>SNAP Program</w:t>
      </w:r>
    </w:p>
    <w:p w14:paraId="7B208A0B" w14:textId="77777777" w:rsidR="00AF3359" w:rsidRPr="00A67F13" w:rsidRDefault="00AF3359" w:rsidP="00AF3359">
      <w:pPr>
        <w:jc w:val="center"/>
        <w:rPr>
          <w:b/>
          <w:bCs/>
          <w:color w:val="000000"/>
        </w:rPr>
      </w:pPr>
    </w:p>
    <w:p w14:paraId="2A5CCC52" w14:textId="77777777" w:rsidR="00AF3359" w:rsidRPr="00A67F13" w:rsidRDefault="00AF3359" w:rsidP="00AF3359">
      <w:pPr>
        <w:shd w:val="clear" w:color="auto" w:fill="FFFFFF"/>
        <w:rPr>
          <w:color w:val="222222"/>
        </w:rPr>
      </w:pPr>
      <w:r w:rsidRPr="00A67F13">
        <w:rPr>
          <w:color w:val="000000"/>
        </w:rPr>
        <w:t>As a vendor at the market participating in the SNAP Program, Vendor agrees: </w:t>
      </w:r>
    </w:p>
    <w:p w14:paraId="4517373C" w14:textId="77777777" w:rsidR="00AF3359" w:rsidRPr="00A67F13" w:rsidRDefault="00AF3359" w:rsidP="00AF3359">
      <w:pPr>
        <w:pStyle w:val="ListParagraph"/>
        <w:numPr>
          <w:ilvl w:val="0"/>
          <w:numId w:val="1"/>
        </w:numPr>
        <w:shd w:val="clear" w:color="auto" w:fill="FFFFFF"/>
        <w:suppressAutoHyphens w:val="0"/>
        <w:rPr>
          <w:color w:val="000000"/>
        </w:rPr>
      </w:pPr>
      <w:r w:rsidRPr="00A67F13">
        <w:rPr>
          <w:color w:val="000000"/>
        </w:rPr>
        <w:t xml:space="preserve">To accept the market’s SNAP tokens only for SNAP eligible food </w:t>
      </w:r>
      <w:proofErr w:type="gramStart"/>
      <w:r w:rsidRPr="00A67F13">
        <w:rPr>
          <w:color w:val="000000"/>
        </w:rPr>
        <w:t>items</w:t>
      </w:r>
      <w:proofErr w:type="gramEnd"/>
    </w:p>
    <w:p w14:paraId="26AEE3A6" w14:textId="77777777" w:rsidR="00AF3359" w:rsidRPr="00A67F13" w:rsidRDefault="00AF3359" w:rsidP="00AF3359">
      <w:pPr>
        <w:pStyle w:val="ListParagraph"/>
        <w:numPr>
          <w:ilvl w:val="0"/>
          <w:numId w:val="1"/>
        </w:numPr>
        <w:shd w:val="clear" w:color="auto" w:fill="FFFFFF"/>
        <w:suppressAutoHyphens w:val="0"/>
        <w:rPr>
          <w:color w:val="000000"/>
        </w:rPr>
      </w:pPr>
      <w:r w:rsidRPr="00A67F13">
        <w:rPr>
          <w:color w:val="000000"/>
        </w:rPr>
        <w:t>To charge the same price for goods whether a customer tenders SNAP tokens, cash, or check</w:t>
      </w:r>
    </w:p>
    <w:p w14:paraId="1E600B88" w14:textId="77777777" w:rsidR="00AF3359" w:rsidRPr="00A67F13" w:rsidRDefault="00AF3359" w:rsidP="00AF3359">
      <w:pPr>
        <w:pStyle w:val="ListParagraph"/>
        <w:numPr>
          <w:ilvl w:val="0"/>
          <w:numId w:val="1"/>
        </w:numPr>
        <w:shd w:val="clear" w:color="auto" w:fill="FFFFFF"/>
        <w:suppressAutoHyphens w:val="0"/>
        <w:rPr>
          <w:color w:val="000000"/>
        </w:rPr>
      </w:pPr>
      <w:r w:rsidRPr="00A67F13">
        <w:rPr>
          <w:color w:val="000000"/>
        </w:rPr>
        <w:t xml:space="preserve">That Vendor will not give cash change in any amount for goods paid for with SNAP tokens even if change would ordinarily be </w:t>
      </w:r>
      <w:proofErr w:type="gramStart"/>
      <w:r w:rsidRPr="00A67F13">
        <w:rPr>
          <w:color w:val="000000"/>
        </w:rPr>
        <w:t>due</w:t>
      </w:r>
      <w:proofErr w:type="gramEnd"/>
    </w:p>
    <w:p w14:paraId="65A72B08" w14:textId="77777777" w:rsidR="00AF3359" w:rsidRPr="00A67F13" w:rsidRDefault="00AF3359" w:rsidP="00AF3359">
      <w:pPr>
        <w:pStyle w:val="ListParagraph"/>
        <w:numPr>
          <w:ilvl w:val="0"/>
          <w:numId w:val="1"/>
        </w:numPr>
        <w:shd w:val="clear" w:color="auto" w:fill="FFFFFF"/>
        <w:suppressAutoHyphens w:val="0"/>
        <w:rPr>
          <w:color w:val="000000"/>
        </w:rPr>
      </w:pPr>
      <w:r w:rsidRPr="00A67F13">
        <w:rPr>
          <w:color w:val="000000"/>
        </w:rPr>
        <w:t xml:space="preserve">That Vendor will not exchange SNAP tokens for any reason or with any person for </w:t>
      </w:r>
      <w:proofErr w:type="gramStart"/>
      <w:r w:rsidRPr="00A67F13">
        <w:rPr>
          <w:color w:val="000000"/>
        </w:rPr>
        <w:t>cash</w:t>
      </w:r>
      <w:proofErr w:type="gramEnd"/>
    </w:p>
    <w:p w14:paraId="592ACECF" w14:textId="77777777" w:rsidR="00AF3359" w:rsidRPr="00A67F13" w:rsidRDefault="00AF3359" w:rsidP="00AF3359">
      <w:pPr>
        <w:pStyle w:val="ListParagraph"/>
        <w:numPr>
          <w:ilvl w:val="0"/>
          <w:numId w:val="1"/>
        </w:numPr>
        <w:shd w:val="clear" w:color="auto" w:fill="FFFFFF"/>
        <w:suppressAutoHyphens w:val="0"/>
        <w:rPr>
          <w:color w:val="000000"/>
        </w:rPr>
      </w:pPr>
      <w:r w:rsidRPr="00A67F13">
        <w:rPr>
          <w:color w:val="000000"/>
        </w:rPr>
        <w:t xml:space="preserve">To display the signs provided on the Market Stall to indicate that SNAP tokens are </w:t>
      </w:r>
      <w:proofErr w:type="gramStart"/>
      <w:r w:rsidRPr="00A67F13">
        <w:rPr>
          <w:color w:val="000000"/>
        </w:rPr>
        <w:t>accepted</w:t>
      </w:r>
      <w:proofErr w:type="gramEnd"/>
    </w:p>
    <w:p w14:paraId="5A4CD388" w14:textId="77777777" w:rsidR="00AF3359" w:rsidRPr="00A67F13" w:rsidRDefault="00AF3359" w:rsidP="00AF3359">
      <w:pPr>
        <w:shd w:val="clear" w:color="auto" w:fill="FFFFFF"/>
        <w:rPr>
          <w:color w:val="000000"/>
        </w:rPr>
      </w:pPr>
    </w:p>
    <w:p w14:paraId="505BFDAB" w14:textId="77777777" w:rsidR="00AF3359" w:rsidRPr="00A67F13" w:rsidRDefault="00AF3359" w:rsidP="00AF3359">
      <w:pPr>
        <w:shd w:val="clear" w:color="auto" w:fill="FFFFFF"/>
        <w:rPr>
          <w:color w:val="000000"/>
        </w:rPr>
      </w:pPr>
      <w:r w:rsidRPr="00A67F13">
        <w:rPr>
          <w:color w:val="000000"/>
        </w:rPr>
        <w:t xml:space="preserve">In addition, </w:t>
      </w:r>
      <w:r>
        <w:rPr>
          <w:color w:val="000000"/>
        </w:rPr>
        <w:t>Vendor</w:t>
      </w:r>
      <w:r w:rsidRPr="00A67F13">
        <w:rPr>
          <w:color w:val="000000"/>
        </w:rPr>
        <w:t xml:space="preserve"> understand</w:t>
      </w:r>
      <w:r>
        <w:rPr>
          <w:color w:val="000000"/>
        </w:rPr>
        <w:t>s</w:t>
      </w:r>
      <w:r w:rsidRPr="00A67F13">
        <w:rPr>
          <w:color w:val="000000"/>
        </w:rPr>
        <w:t xml:space="preserve"> that: </w:t>
      </w:r>
    </w:p>
    <w:p w14:paraId="741F6D39" w14:textId="080FB45B" w:rsidR="00AF3359" w:rsidRPr="00A67F13" w:rsidRDefault="00AF3359" w:rsidP="00AF3359">
      <w:pPr>
        <w:pStyle w:val="ListParagraph"/>
        <w:numPr>
          <w:ilvl w:val="0"/>
          <w:numId w:val="2"/>
        </w:numPr>
        <w:shd w:val="clear" w:color="auto" w:fill="FFFFFF"/>
        <w:suppressAutoHyphens w:val="0"/>
        <w:rPr>
          <w:color w:val="000000"/>
        </w:rPr>
      </w:pPr>
      <w:r w:rsidRPr="00A67F13">
        <w:rPr>
          <w:color w:val="000000"/>
        </w:rPr>
        <w:t xml:space="preserve">It is important to maintain and keep accurate records of the tokens turned </w:t>
      </w:r>
      <w:proofErr w:type="gramStart"/>
      <w:r w:rsidRPr="00A67F13">
        <w:rPr>
          <w:color w:val="000000"/>
        </w:rPr>
        <w:t>in</w:t>
      </w:r>
      <w:r w:rsidR="00AA7164">
        <w:rPr>
          <w:color w:val="000000"/>
        </w:rPr>
        <w:t xml:space="preserve"> </w:t>
      </w:r>
      <w:r w:rsidRPr="00A67F13">
        <w:rPr>
          <w:color w:val="000000"/>
        </w:rPr>
        <w:t>to</w:t>
      </w:r>
      <w:proofErr w:type="gramEnd"/>
      <w:r w:rsidRPr="00A67F13">
        <w:rPr>
          <w:color w:val="000000"/>
        </w:rPr>
        <w:t xml:space="preserve"> the market for reimbursement</w:t>
      </w:r>
    </w:p>
    <w:p w14:paraId="74AE1752" w14:textId="77777777" w:rsidR="00AF3359" w:rsidRPr="00A67F13" w:rsidRDefault="00AF3359" w:rsidP="00AF3359">
      <w:pPr>
        <w:pStyle w:val="ListParagraph"/>
        <w:numPr>
          <w:ilvl w:val="0"/>
          <w:numId w:val="2"/>
        </w:numPr>
        <w:shd w:val="clear" w:color="auto" w:fill="FFFFFF"/>
        <w:suppressAutoHyphens w:val="0"/>
        <w:rPr>
          <w:color w:val="000000"/>
        </w:rPr>
      </w:pPr>
      <w:r w:rsidRPr="00A67F13">
        <w:rPr>
          <w:color w:val="000000"/>
        </w:rPr>
        <w:t xml:space="preserve">The market will not accept damaged or broken tokens for </w:t>
      </w:r>
      <w:proofErr w:type="gramStart"/>
      <w:r w:rsidRPr="00A67F13">
        <w:rPr>
          <w:color w:val="000000"/>
        </w:rPr>
        <w:t>reimbursement</w:t>
      </w:r>
      <w:proofErr w:type="gramEnd"/>
    </w:p>
    <w:p w14:paraId="55C1891E" w14:textId="77777777" w:rsidR="00AF3359" w:rsidRPr="00A67F13" w:rsidRDefault="00AF3359" w:rsidP="00AF3359">
      <w:pPr>
        <w:pStyle w:val="ListParagraph"/>
        <w:numPr>
          <w:ilvl w:val="0"/>
          <w:numId w:val="2"/>
        </w:numPr>
        <w:shd w:val="clear" w:color="auto" w:fill="FFFFFF"/>
        <w:suppressAutoHyphens w:val="0"/>
        <w:rPr>
          <w:color w:val="000000"/>
        </w:rPr>
      </w:pPr>
      <w:r w:rsidRPr="00A67F13">
        <w:rPr>
          <w:color w:val="000000"/>
        </w:rPr>
        <w:t xml:space="preserve">The market will not reimburse for tokens using cash at the market but will reimburse by check according to an established </w:t>
      </w:r>
      <w:proofErr w:type="gramStart"/>
      <w:r w:rsidRPr="00A67F13">
        <w:rPr>
          <w:color w:val="000000"/>
        </w:rPr>
        <w:t>schedule</w:t>
      </w:r>
      <w:proofErr w:type="gramEnd"/>
    </w:p>
    <w:p w14:paraId="7CB62620" w14:textId="77777777" w:rsidR="00AF3359" w:rsidRPr="00A67F13" w:rsidRDefault="00AF3359" w:rsidP="00AF3359">
      <w:pPr>
        <w:pStyle w:val="ListParagraph"/>
        <w:numPr>
          <w:ilvl w:val="0"/>
          <w:numId w:val="2"/>
        </w:numPr>
        <w:shd w:val="clear" w:color="auto" w:fill="FFFFFF"/>
        <w:suppressAutoHyphens w:val="0"/>
        <w:rPr>
          <w:color w:val="000000"/>
        </w:rPr>
      </w:pPr>
      <w:r w:rsidRPr="00A67F13">
        <w:rPr>
          <w:color w:val="000000"/>
        </w:rPr>
        <w:t xml:space="preserve">Vender must notify the market beforehand if Vendor chooses to end participation in the </w:t>
      </w:r>
      <w:proofErr w:type="gramStart"/>
      <w:r w:rsidRPr="00A67F13">
        <w:rPr>
          <w:color w:val="000000"/>
        </w:rPr>
        <w:t>program</w:t>
      </w:r>
      <w:proofErr w:type="gramEnd"/>
    </w:p>
    <w:p w14:paraId="72E19ED8" w14:textId="77777777" w:rsidR="00AF3359" w:rsidRPr="00A67F13" w:rsidRDefault="00AF3359" w:rsidP="00AF3359">
      <w:pPr>
        <w:pStyle w:val="ListParagraph"/>
        <w:numPr>
          <w:ilvl w:val="0"/>
          <w:numId w:val="2"/>
        </w:numPr>
        <w:shd w:val="clear" w:color="auto" w:fill="FFFFFF"/>
        <w:suppressAutoHyphens w:val="0"/>
        <w:rPr>
          <w:color w:val="000000"/>
        </w:rPr>
      </w:pPr>
      <w:r w:rsidRPr="00A67F13">
        <w:rPr>
          <w:color w:val="000000"/>
        </w:rPr>
        <w:t>It is Vendor’s responsibility to ensure that anyone who sells at the market understands and agrees to the terms of the SNAP Program  </w:t>
      </w:r>
    </w:p>
    <w:p w14:paraId="5497C32C" w14:textId="77777777" w:rsidR="00AF3359" w:rsidRPr="00A67F13" w:rsidRDefault="00AF3359" w:rsidP="00AF3359">
      <w:pPr>
        <w:pStyle w:val="ListParagraph"/>
        <w:numPr>
          <w:ilvl w:val="0"/>
          <w:numId w:val="2"/>
        </w:numPr>
        <w:shd w:val="clear" w:color="auto" w:fill="FFFFFF"/>
        <w:suppressAutoHyphens w:val="0"/>
        <w:rPr>
          <w:color w:val="000000"/>
        </w:rPr>
      </w:pPr>
      <w:r w:rsidRPr="00A67F13">
        <w:rPr>
          <w:color w:val="000000"/>
        </w:rPr>
        <w:t xml:space="preserve">It is Vendor’s responsibility to direct questions or concerns about the SNAP Program to the market manager should they </w:t>
      </w:r>
      <w:proofErr w:type="gramStart"/>
      <w:r w:rsidRPr="00A67F13">
        <w:rPr>
          <w:color w:val="000000"/>
        </w:rPr>
        <w:t>arise</w:t>
      </w:r>
      <w:proofErr w:type="gramEnd"/>
    </w:p>
    <w:p w14:paraId="5D274ED1" w14:textId="77777777" w:rsidR="00AF3359" w:rsidRPr="00A67F13" w:rsidRDefault="00AF3359" w:rsidP="00AF3359">
      <w:pPr>
        <w:shd w:val="clear" w:color="auto" w:fill="FFFFFF"/>
        <w:rPr>
          <w:color w:val="000000"/>
        </w:rPr>
      </w:pPr>
    </w:p>
    <w:p w14:paraId="48078DFA" w14:textId="77777777" w:rsidR="00AF3359" w:rsidRPr="00A67F13" w:rsidRDefault="00AF3359" w:rsidP="00AF3359">
      <w:pPr>
        <w:shd w:val="clear" w:color="auto" w:fill="FFFFFF"/>
        <w:rPr>
          <w:color w:val="000000"/>
        </w:rPr>
      </w:pPr>
      <w:r w:rsidRPr="00A67F13">
        <w:rPr>
          <w:b/>
          <w:bCs/>
          <w:color w:val="000000"/>
        </w:rPr>
        <w:t>SNAP eligible food items include:</w:t>
      </w:r>
    </w:p>
    <w:p w14:paraId="64DE98CB" w14:textId="77777777" w:rsidR="00AF3359" w:rsidRPr="00A67F13" w:rsidRDefault="00AF3359" w:rsidP="00AF3359">
      <w:pPr>
        <w:pStyle w:val="ListParagraph"/>
        <w:numPr>
          <w:ilvl w:val="0"/>
          <w:numId w:val="3"/>
        </w:numPr>
        <w:shd w:val="clear" w:color="auto" w:fill="FFFFFF"/>
        <w:suppressAutoHyphens w:val="0"/>
        <w:rPr>
          <w:color w:val="000000"/>
        </w:rPr>
      </w:pPr>
      <w:r w:rsidRPr="00A67F13">
        <w:rPr>
          <w:color w:val="000000"/>
        </w:rPr>
        <w:t>Preserved and fresh fruits, vegetables, and herbs</w:t>
      </w:r>
    </w:p>
    <w:p w14:paraId="4A988FF1" w14:textId="77777777" w:rsidR="00AF3359" w:rsidRPr="00A67F13" w:rsidRDefault="00AF3359" w:rsidP="00AF3359">
      <w:pPr>
        <w:pStyle w:val="ListParagraph"/>
        <w:numPr>
          <w:ilvl w:val="0"/>
          <w:numId w:val="3"/>
        </w:numPr>
        <w:shd w:val="clear" w:color="auto" w:fill="FFFFFF"/>
        <w:suppressAutoHyphens w:val="0"/>
        <w:rPr>
          <w:color w:val="000000"/>
        </w:rPr>
      </w:pPr>
      <w:r w:rsidRPr="00A67F13">
        <w:rPr>
          <w:color w:val="000000"/>
        </w:rPr>
        <w:t>Meat, dairy, and eggs</w:t>
      </w:r>
    </w:p>
    <w:p w14:paraId="59D6F57A" w14:textId="77777777" w:rsidR="00AF3359" w:rsidRPr="00A67F13" w:rsidRDefault="00AF3359" w:rsidP="00AF3359">
      <w:pPr>
        <w:pStyle w:val="ListParagraph"/>
        <w:numPr>
          <w:ilvl w:val="0"/>
          <w:numId w:val="3"/>
        </w:numPr>
        <w:shd w:val="clear" w:color="auto" w:fill="FFFFFF"/>
        <w:suppressAutoHyphens w:val="0"/>
        <w:rPr>
          <w:color w:val="000000"/>
        </w:rPr>
      </w:pPr>
      <w:r w:rsidRPr="00A67F13">
        <w:rPr>
          <w:color w:val="000000"/>
        </w:rPr>
        <w:t>Baked and canned goods</w:t>
      </w:r>
    </w:p>
    <w:p w14:paraId="26943CDD" w14:textId="77777777" w:rsidR="00AF3359" w:rsidRPr="00A67F13" w:rsidRDefault="00AF3359" w:rsidP="00AF3359">
      <w:pPr>
        <w:pStyle w:val="ListParagraph"/>
        <w:numPr>
          <w:ilvl w:val="0"/>
          <w:numId w:val="3"/>
        </w:numPr>
        <w:shd w:val="clear" w:color="auto" w:fill="FFFFFF"/>
        <w:suppressAutoHyphens w:val="0"/>
        <w:rPr>
          <w:color w:val="000000"/>
        </w:rPr>
      </w:pPr>
      <w:r w:rsidRPr="00A67F13">
        <w:rPr>
          <w:color w:val="000000"/>
        </w:rPr>
        <w:t xml:space="preserve">Seeds and plants that bear fruits, vegetables, or </w:t>
      </w:r>
      <w:proofErr w:type="gramStart"/>
      <w:r w:rsidRPr="00A67F13">
        <w:rPr>
          <w:color w:val="000000"/>
        </w:rPr>
        <w:t>herbs</w:t>
      </w:r>
      <w:proofErr w:type="gramEnd"/>
    </w:p>
    <w:p w14:paraId="1FEFA136" w14:textId="77777777" w:rsidR="00AF3359" w:rsidRPr="00A67F13" w:rsidRDefault="00AF3359" w:rsidP="00AF3359">
      <w:pPr>
        <w:shd w:val="clear" w:color="auto" w:fill="FFFFFF"/>
        <w:rPr>
          <w:color w:val="000000"/>
        </w:rPr>
      </w:pPr>
    </w:p>
    <w:p w14:paraId="47084D90" w14:textId="77777777" w:rsidR="00AF3359" w:rsidRPr="00A67F13" w:rsidRDefault="00AF3359" w:rsidP="00AF3359">
      <w:pPr>
        <w:shd w:val="clear" w:color="auto" w:fill="FFFFFF"/>
        <w:rPr>
          <w:color w:val="000000"/>
        </w:rPr>
      </w:pPr>
      <w:r w:rsidRPr="00A67F13">
        <w:rPr>
          <w:b/>
          <w:bCs/>
          <w:color w:val="000000"/>
        </w:rPr>
        <w:t>Items that cannot be purchased using SNAP include:</w:t>
      </w:r>
    </w:p>
    <w:p w14:paraId="249468F4" w14:textId="77777777" w:rsidR="00AF3359" w:rsidRPr="00A67F13" w:rsidRDefault="00AF3359" w:rsidP="00AF3359">
      <w:pPr>
        <w:pStyle w:val="ListParagraph"/>
        <w:numPr>
          <w:ilvl w:val="0"/>
          <w:numId w:val="4"/>
        </w:numPr>
        <w:shd w:val="clear" w:color="auto" w:fill="FFFFFF"/>
        <w:suppressAutoHyphens w:val="0"/>
        <w:rPr>
          <w:color w:val="000000"/>
        </w:rPr>
      </w:pPr>
      <w:r w:rsidRPr="00A67F13">
        <w:rPr>
          <w:color w:val="000000"/>
        </w:rPr>
        <w:t>Food items intended for immediate consumption at the market (like coffee or prepared hot foods)</w:t>
      </w:r>
    </w:p>
    <w:p w14:paraId="6C8B11BC" w14:textId="77777777" w:rsidR="00AF3359" w:rsidRPr="00A67F13" w:rsidRDefault="00AF3359" w:rsidP="00AF3359">
      <w:pPr>
        <w:pStyle w:val="ListParagraph"/>
        <w:numPr>
          <w:ilvl w:val="0"/>
          <w:numId w:val="4"/>
        </w:numPr>
        <w:shd w:val="clear" w:color="auto" w:fill="FFFFFF"/>
        <w:suppressAutoHyphens w:val="0"/>
        <w:rPr>
          <w:color w:val="000000"/>
        </w:rPr>
      </w:pPr>
      <w:r w:rsidRPr="00A67F13">
        <w:rPr>
          <w:color w:val="000000"/>
        </w:rPr>
        <w:t>Non-food items (like crafts, clothes, and flowers)</w:t>
      </w:r>
    </w:p>
    <w:p w14:paraId="2E3442DF" w14:textId="77777777" w:rsidR="00AF3359" w:rsidRPr="00A67F13" w:rsidRDefault="00AF3359" w:rsidP="00AF3359">
      <w:pPr>
        <w:pStyle w:val="ListParagraph"/>
        <w:numPr>
          <w:ilvl w:val="0"/>
          <w:numId w:val="4"/>
        </w:numPr>
        <w:shd w:val="clear" w:color="auto" w:fill="FFFFFF"/>
        <w:suppressAutoHyphens w:val="0"/>
        <w:rPr>
          <w:color w:val="000000"/>
        </w:rPr>
      </w:pPr>
      <w:r w:rsidRPr="00A67F13">
        <w:rPr>
          <w:color w:val="000000"/>
        </w:rPr>
        <w:t>Produce that is intended for ornamental purposes only (like gourds and carving pumpkins)</w:t>
      </w:r>
    </w:p>
    <w:p w14:paraId="25F63C4E" w14:textId="77777777" w:rsidR="00AF3359" w:rsidRPr="00A67F13" w:rsidRDefault="00AF3359" w:rsidP="00AF3359">
      <w:pPr>
        <w:shd w:val="clear" w:color="auto" w:fill="FFFFFF"/>
        <w:rPr>
          <w:color w:val="000000"/>
        </w:rPr>
      </w:pPr>
    </w:p>
    <w:p w14:paraId="12016521" w14:textId="72744743" w:rsidR="00E32AC8" w:rsidRDefault="00AF3359" w:rsidP="00AF3359">
      <w:pPr>
        <w:jc w:val="both"/>
        <w:rPr>
          <w:color w:val="000000"/>
          <w:sz w:val="22"/>
          <w:szCs w:val="22"/>
        </w:rPr>
      </w:pPr>
      <w:r w:rsidRPr="00A67F13">
        <w:rPr>
          <w:color w:val="000000"/>
        </w:rPr>
        <w:t>More information may be found online at </w:t>
      </w:r>
      <w:hyperlink r:id="rId12" w:tgtFrame="_blank" w:history="1">
        <w:r w:rsidRPr="00A67F13">
          <w:rPr>
            <w:color w:val="1155CC"/>
            <w:u w:val="single"/>
          </w:rPr>
          <w:t>https://www.fns.usda.gov/snap/eligible-food-items </w:t>
        </w:r>
      </w:hyperlink>
    </w:p>
    <w:sectPr w:rsidR="00E32AC8" w:rsidSect="00771DDC">
      <w:headerReference w:type="first" r:id="rId13"/>
      <w:pgSz w:w="12240" w:h="15840"/>
      <w:pgMar w:top="1440" w:right="1440" w:bottom="1440" w:left="1440" w:header="288" w:footer="720" w:gutter="0"/>
      <w:pgBorders w:zOrder="back" w:offsetFrom="page">
        <w:top w:val="single" w:sz="18" w:space="24" w:color="auto"/>
        <w:left w:val="single" w:sz="18" w:space="24" w:color="auto"/>
        <w:bottom w:val="single" w:sz="18" w:space="24" w:color="auto"/>
        <w:right w:val="single" w:sz="1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D9CE80" w14:textId="77777777" w:rsidR="00A97509" w:rsidRDefault="00A97509">
      <w:pPr>
        <w:rPr>
          <w:color w:val="000000"/>
        </w:rPr>
      </w:pPr>
      <w:r>
        <w:rPr>
          <w:color w:val="000000"/>
        </w:rPr>
        <w:separator/>
      </w:r>
    </w:p>
  </w:endnote>
  <w:endnote w:type="continuationSeparator" w:id="0">
    <w:p w14:paraId="5A0323EF" w14:textId="77777777" w:rsidR="00A97509" w:rsidRDefault="00A97509">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922DD8" w14:textId="77777777" w:rsidR="00E32AC8" w:rsidRDefault="00E32AC8">
    <w:pPr>
      <w:pStyle w:val="Footer"/>
      <w:rPr>
        <w:rFonts w:ascii="Times New Roman" w:hAnsi="Times New Roman"/>
        <w:sz w:val="16"/>
      </w:rPr>
    </w:pPr>
    <w:r>
      <w:rPr>
        <w:rFonts w:ascii="Times New Roman" w:hAnsi="Times New Roman"/>
        <w:sz w:val="16"/>
      </w:rPr>
      <w:t>F</w:t>
    </w:r>
    <w:r w:rsidR="00647F8D">
      <w:rPr>
        <w:rFonts w:ascii="Times New Roman" w:hAnsi="Times New Roman"/>
        <w:sz w:val="16"/>
      </w:rPr>
      <w:t>ORM: OGC-SC603</w:t>
    </w:r>
  </w:p>
  <w:p w14:paraId="0AF57058" w14:textId="65436A84" w:rsidR="00E32AC8" w:rsidRDefault="00E32AC8">
    <w:pPr>
      <w:pStyle w:val="Footer"/>
      <w:rPr>
        <w:rFonts w:ascii="Times New Roman" w:hAnsi="Times New Roman"/>
        <w:sz w:val="16"/>
      </w:rPr>
    </w:pPr>
    <w:r>
      <w:rPr>
        <w:rFonts w:ascii="Times New Roman" w:hAnsi="Times New Roman"/>
        <w:sz w:val="16"/>
      </w:rPr>
      <w:t>Form Date: 04.14.</w:t>
    </w:r>
    <w:r w:rsidR="006762EC">
      <w:rPr>
        <w:rFonts w:ascii="Times New Roman" w:hAnsi="Times New Roman"/>
        <w:sz w:val="16"/>
      </w:rPr>
      <w:t>20</w:t>
    </w:r>
    <w:r>
      <w:rPr>
        <w:rFonts w:ascii="Times New Roman" w:hAnsi="Times New Roman"/>
        <w:sz w:val="16"/>
      </w:rPr>
      <w:t>05</w:t>
    </w:r>
  </w:p>
  <w:p w14:paraId="04E38E47" w14:textId="22E8F2E5" w:rsidR="00E32AC8" w:rsidRDefault="00E32AC8">
    <w:pPr>
      <w:pStyle w:val="Footer"/>
      <w:rPr>
        <w:rStyle w:val="PageNumber"/>
        <w:rFonts w:ascii="Times New Roman" w:hAnsi="Times New Roman" w:cs="Times New Roman"/>
        <w:color w:val="000000"/>
      </w:rPr>
    </w:pPr>
    <w:r>
      <w:rPr>
        <w:rFonts w:ascii="Times New Roman" w:hAnsi="Times New Roman"/>
        <w:sz w:val="16"/>
      </w:rPr>
      <w:t xml:space="preserve">Revision Date: </w:t>
    </w:r>
    <w:r w:rsidR="00414628">
      <w:rPr>
        <w:rFonts w:ascii="Times New Roman" w:hAnsi="Times New Roman"/>
        <w:sz w:val="16"/>
      </w:rPr>
      <w:t>03.</w:t>
    </w:r>
    <w:r w:rsidR="00AF3359">
      <w:rPr>
        <w:rFonts w:ascii="Times New Roman" w:hAnsi="Times New Roman"/>
        <w:sz w:val="16"/>
      </w:rPr>
      <w:t>21</w:t>
    </w:r>
    <w:r w:rsidR="00414628">
      <w:rPr>
        <w:rFonts w:ascii="Times New Roman" w:hAnsi="Times New Roman"/>
        <w:sz w:val="16"/>
      </w:rPr>
      <w:t>.202</w:t>
    </w:r>
    <w:r w:rsidR="00AF3359">
      <w:rPr>
        <w:rFonts w:ascii="Times New Roman" w:hAnsi="Times New Roman"/>
        <w:sz w:val="16"/>
      </w:rPr>
      <w:t>4</w:t>
    </w:r>
  </w:p>
  <w:p w14:paraId="28D5F703" w14:textId="77777777" w:rsidR="00E32AC8" w:rsidRDefault="00E32AC8">
    <w:pPr>
      <w:pStyle w:val="Footer"/>
      <w:jc w:val="center"/>
      <w:rPr>
        <w:rFonts w:ascii="Times New Roman" w:hAnsi="Times New Roman" w:cs="Times New Roman"/>
        <w:color w:val="000000"/>
      </w:rPr>
    </w:pPr>
    <w:r>
      <w:rPr>
        <w:rStyle w:val="PageNumber"/>
        <w:rFonts w:ascii="Times New Roman" w:hAnsi="Times New Roman" w:cs="Times New Roman"/>
        <w:color w:val="000000"/>
      </w:rPr>
      <w:fldChar w:fldCharType="begin"/>
    </w:r>
    <w:r>
      <w:rPr>
        <w:rStyle w:val="PageNumber"/>
        <w:rFonts w:ascii="Times New Roman" w:hAnsi="Times New Roman" w:cs="Times New Roman"/>
        <w:color w:val="000000"/>
      </w:rPr>
      <w:instrText xml:space="preserve"> PAGE </w:instrText>
    </w:r>
    <w:r>
      <w:rPr>
        <w:rStyle w:val="PageNumber"/>
        <w:rFonts w:ascii="Times New Roman" w:hAnsi="Times New Roman" w:cs="Times New Roman"/>
        <w:color w:val="000000"/>
      </w:rPr>
      <w:fldChar w:fldCharType="separate"/>
    </w:r>
    <w:r w:rsidR="00802A4F">
      <w:rPr>
        <w:rStyle w:val="PageNumber"/>
        <w:rFonts w:ascii="Times New Roman" w:hAnsi="Times New Roman" w:cs="Times New Roman"/>
        <w:noProof/>
        <w:color w:val="000000"/>
      </w:rPr>
      <w:t>3</w:t>
    </w:r>
    <w:r>
      <w:rPr>
        <w:rStyle w:val="PageNumber"/>
        <w:rFonts w:ascii="Times New Roman" w:hAnsi="Times New Roman" w:cs="Times New Roman"/>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F2500" w14:textId="77777777" w:rsidR="00227B65" w:rsidRDefault="00227B65" w:rsidP="00227B65">
    <w:pPr>
      <w:pStyle w:val="Footer"/>
      <w:rPr>
        <w:rFonts w:ascii="Times New Roman" w:hAnsi="Times New Roman"/>
        <w:sz w:val="16"/>
      </w:rPr>
    </w:pPr>
    <w:r>
      <w:rPr>
        <w:rFonts w:ascii="Times New Roman" w:hAnsi="Times New Roman"/>
        <w:sz w:val="16"/>
      </w:rPr>
      <w:t>FORM: OGC-SC603</w:t>
    </w:r>
  </w:p>
  <w:p w14:paraId="537B43B8" w14:textId="3818A61E" w:rsidR="00227B65" w:rsidRDefault="00227B65" w:rsidP="00227B65">
    <w:pPr>
      <w:pStyle w:val="Footer"/>
      <w:rPr>
        <w:rFonts w:ascii="Times New Roman" w:hAnsi="Times New Roman"/>
        <w:sz w:val="16"/>
      </w:rPr>
    </w:pPr>
    <w:r>
      <w:rPr>
        <w:rFonts w:ascii="Times New Roman" w:hAnsi="Times New Roman"/>
        <w:sz w:val="16"/>
      </w:rPr>
      <w:t>Form Date: 04.14.</w:t>
    </w:r>
    <w:r w:rsidR="006762EC">
      <w:rPr>
        <w:rFonts w:ascii="Times New Roman" w:hAnsi="Times New Roman"/>
        <w:sz w:val="16"/>
      </w:rPr>
      <w:t>20</w:t>
    </w:r>
    <w:r>
      <w:rPr>
        <w:rFonts w:ascii="Times New Roman" w:hAnsi="Times New Roman"/>
        <w:sz w:val="16"/>
      </w:rPr>
      <w:t>05</w:t>
    </w:r>
  </w:p>
  <w:p w14:paraId="3AE1D810" w14:textId="392738A9" w:rsidR="00227B65" w:rsidRDefault="00227B65" w:rsidP="00227B65">
    <w:pPr>
      <w:pStyle w:val="Footer"/>
      <w:rPr>
        <w:rStyle w:val="PageNumber"/>
        <w:rFonts w:ascii="Times New Roman" w:hAnsi="Times New Roman" w:cs="Times New Roman"/>
        <w:color w:val="000000"/>
      </w:rPr>
    </w:pPr>
    <w:r>
      <w:rPr>
        <w:rFonts w:ascii="Times New Roman" w:hAnsi="Times New Roman"/>
        <w:sz w:val="16"/>
      </w:rPr>
      <w:t xml:space="preserve">Revision Date: </w:t>
    </w:r>
    <w:r w:rsidR="00414628">
      <w:rPr>
        <w:rFonts w:ascii="Times New Roman" w:hAnsi="Times New Roman"/>
        <w:sz w:val="16"/>
      </w:rPr>
      <w:t>03.</w:t>
    </w:r>
    <w:r w:rsidR="00AF3359">
      <w:rPr>
        <w:rFonts w:ascii="Times New Roman" w:hAnsi="Times New Roman"/>
        <w:sz w:val="16"/>
      </w:rPr>
      <w:t>21</w:t>
    </w:r>
    <w:r w:rsidR="00414628">
      <w:rPr>
        <w:rFonts w:ascii="Times New Roman" w:hAnsi="Times New Roman"/>
        <w:sz w:val="16"/>
      </w:rPr>
      <w:t>.20</w:t>
    </w:r>
    <w:r w:rsidR="00AF3359">
      <w:rPr>
        <w:rFonts w:ascii="Times New Roman" w:hAnsi="Times New Roman"/>
        <w:sz w:val="16"/>
      </w:rPr>
      <w:t>24</w:t>
    </w:r>
  </w:p>
  <w:p w14:paraId="052ABF13" w14:textId="77777777" w:rsidR="00227B65" w:rsidRPr="00227B65" w:rsidRDefault="00227B65" w:rsidP="00227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BA4994" w14:textId="77777777" w:rsidR="00A97509" w:rsidRDefault="00A97509">
      <w:pPr>
        <w:rPr>
          <w:color w:val="000000"/>
        </w:rPr>
      </w:pPr>
      <w:r>
        <w:rPr>
          <w:color w:val="000000"/>
        </w:rPr>
        <w:separator/>
      </w:r>
    </w:p>
  </w:footnote>
  <w:footnote w:type="continuationSeparator" w:id="0">
    <w:p w14:paraId="304A136F" w14:textId="77777777" w:rsidR="00A97509" w:rsidRDefault="00A97509">
      <w:pPr>
        <w:rPr>
          <w:color w:val="000000"/>
        </w:rPr>
      </w:pPr>
      <w:r>
        <w:rPr>
          <w:color w:val="00000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48ED6" w14:textId="598620D7" w:rsidR="00227B65" w:rsidRDefault="00821B4F" w:rsidP="00227B65">
    <w:pPr>
      <w:pStyle w:val="Header"/>
      <w:jc w:val="center"/>
    </w:pPr>
    <w:r w:rsidRPr="00147663">
      <w:rPr>
        <w:noProof/>
      </w:rPr>
      <w:drawing>
        <wp:inline distT="0" distB="0" distL="0" distR="0" wp14:anchorId="3ED47E59" wp14:editId="5656C310">
          <wp:extent cx="638175"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AB9F0D" w14:textId="59A3F8F9" w:rsidR="00AF3359" w:rsidRDefault="00AF3359" w:rsidP="00227B6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F95DE5"/>
    <w:multiLevelType w:val="hybridMultilevel"/>
    <w:tmpl w:val="D2DA9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7465AE"/>
    <w:multiLevelType w:val="hybridMultilevel"/>
    <w:tmpl w:val="24543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D8B48A8"/>
    <w:multiLevelType w:val="hybridMultilevel"/>
    <w:tmpl w:val="17382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F3D1E68"/>
    <w:multiLevelType w:val="hybridMultilevel"/>
    <w:tmpl w:val="498E3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25825337">
    <w:abstractNumId w:val="2"/>
  </w:num>
  <w:num w:numId="2" w16cid:durableId="541476892">
    <w:abstractNumId w:val="1"/>
  </w:num>
  <w:num w:numId="3" w16cid:durableId="565068950">
    <w:abstractNumId w:val="3"/>
  </w:num>
  <w:num w:numId="4" w16cid:durableId="124201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wgKlWq980lwmwnNeMFWzLLi4C9jBw03ryt91No3wUT22Oj0+hUOPlqWyW0Pxs9s5nca4VCqQ0YepH2COg1bgA==" w:salt="RQRyXPTeEC+M8oPax5EbOA=="/>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3E"/>
    <w:rsid w:val="000042E7"/>
    <w:rsid w:val="00171BA9"/>
    <w:rsid w:val="001A26A2"/>
    <w:rsid w:val="001D1B6A"/>
    <w:rsid w:val="00211C5E"/>
    <w:rsid w:val="00227B65"/>
    <w:rsid w:val="00271DC0"/>
    <w:rsid w:val="002A76D9"/>
    <w:rsid w:val="00364DB9"/>
    <w:rsid w:val="003B6C86"/>
    <w:rsid w:val="00414628"/>
    <w:rsid w:val="00435176"/>
    <w:rsid w:val="004E560F"/>
    <w:rsid w:val="005579F3"/>
    <w:rsid w:val="00577AC5"/>
    <w:rsid w:val="00604AB9"/>
    <w:rsid w:val="006434AC"/>
    <w:rsid w:val="00647F8D"/>
    <w:rsid w:val="006762EC"/>
    <w:rsid w:val="00757804"/>
    <w:rsid w:val="00771DDC"/>
    <w:rsid w:val="00802A4F"/>
    <w:rsid w:val="00821B4F"/>
    <w:rsid w:val="00834637"/>
    <w:rsid w:val="00855E7C"/>
    <w:rsid w:val="00856C5B"/>
    <w:rsid w:val="008F36A8"/>
    <w:rsid w:val="00976DB2"/>
    <w:rsid w:val="00A749AC"/>
    <w:rsid w:val="00A97509"/>
    <w:rsid w:val="00AA7164"/>
    <w:rsid w:val="00AF3359"/>
    <w:rsid w:val="00BF10E9"/>
    <w:rsid w:val="00BF573E"/>
    <w:rsid w:val="00CB2C29"/>
    <w:rsid w:val="00D96FD7"/>
    <w:rsid w:val="00E32AC8"/>
    <w:rsid w:val="00E539E7"/>
    <w:rsid w:val="00E57597"/>
    <w:rsid w:val="00F30B0A"/>
    <w:rsid w:val="00F82B57"/>
    <w:rsid w:val="00FE2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oNotEmbedSmartTags/>
  <w:decimalSymbol w:val="."/>
  <w:listSeparator w:val=","/>
  <w14:docId w14:val="08ABB892"/>
  <w15:chartTrackingRefBased/>
  <w15:docId w15:val="{17BC8FAB-3E7A-4157-A21E-15693627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Footer">
    <w:name w:val="footer"/>
    <w:basedOn w:val="Normal"/>
    <w:link w:val="FooterChar"/>
    <w:pPr>
      <w:tabs>
        <w:tab w:val="center" w:pos="4320"/>
        <w:tab w:val="right" w:pos="8640"/>
      </w:tabs>
    </w:pPr>
    <w:rPr>
      <w:rFonts w:ascii="Book Antiqua" w:hAnsi="Book Antiqua" w:cs="Book Antiqu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Pr>
      <w:rFonts w:ascii="Book Antiqua" w:hAnsi="Book Antiqua" w:cs="Book Antiqua"/>
      <w:sz w:val="24"/>
      <w:szCs w:val="24"/>
    </w:rPr>
  </w:style>
  <w:style w:type="paragraph" w:styleId="Revision">
    <w:name w:val="Revision"/>
    <w:hidden/>
    <w:uiPriority w:val="99"/>
    <w:semiHidden/>
    <w:rsid w:val="00414628"/>
    <w:rPr>
      <w:sz w:val="24"/>
      <w:szCs w:val="24"/>
    </w:rPr>
  </w:style>
  <w:style w:type="paragraph" w:styleId="ListParagraph">
    <w:name w:val="List Paragraph"/>
    <w:basedOn w:val="Normal"/>
    <w:uiPriority w:val="34"/>
    <w:qFormat/>
    <w:rsid w:val="00AF3359"/>
    <w:pPr>
      <w:suppressAutoHyphens/>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264130">
      <w:bodyDiv w:val="1"/>
      <w:marLeft w:val="0"/>
      <w:marRight w:val="0"/>
      <w:marTop w:val="0"/>
      <w:marBottom w:val="0"/>
      <w:divBdr>
        <w:top w:val="none" w:sz="0" w:space="0" w:color="auto"/>
        <w:left w:val="none" w:sz="0" w:space="0" w:color="auto"/>
        <w:bottom w:val="none" w:sz="0" w:space="0" w:color="auto"/>
        <w:right w:val="none" w:sz="0" w:space="0" w:color="auto"/>
      </w:divBdr>
    </w:div>
    <w:div w:id="122791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ns.usda.gov/snap/eligible-food-ite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21EA4-7046-407B-8486-9151AFB0F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EXHIBITOR AGREEMENT AND</vt:lpstr>
    </vt:vector>
  </TitlesOfParts>
  <Company>umn</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EXHIBITOR AGREEMENT AND</dc:title>
  <dc:subject/>
  <dc:creator>beverly carpenter</dc:creator>
  <cp:keywords/>
  <cp:lastModifiedBy>Brittany Kotta</cp:lastModifiedBy>
  <cp:revision>2</cp:revision>
  <dcterms:created xsi:type="dcterms:W3CDTF">2024-05-09T19:37:00Z</dcterms:created>
  <dcterms:modified xsi:type="dcterms:W3CDTF">2024-05-09T19:37:00Z</dcterms:modified>
</cp:coreProperties>
</file>